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2A.633/2006 vom 26. Januar 2007</w:t>
      </w:r>
    </w:p>
    <w:p>
      <w:r>
        <w:t>Bundesgericht, 2007-01-26, DE</w:t>
      </w:r>
    </w:p>
    <w:p>
      <w:r>
        <w:rPr>
          <w:b/>
        </w:rPr>
        <w:t xml:space="preserve">Quelle: </w:t>
      </w:r>
      <w:r>
        <w:t>https://mcp.opencaselaw.ch/entscheid/bger_2A.633_2006</w:t>
      </w:r>
    </w:p>
    <w:p>
      <w:r>
        <w:t>FR: TF 2A.633/2006 du 26 janvier 2007</w:t>
      </w:r>
    </w:p>
    <w:p>
      <w:r>
        <w:t>IT: TF 2A.633/2006 del 26 gennaio 2007</w:t>
      </w:r>
    </w:p>
    <w:p>
      <w:pPr>
        <w:pStyle w:val="Heading2"/>
      </w:pPr>
      <w:r>
        <w:t>Erwägungen</w:t>
      </w:r>
    </w:p>
    <w:p>
      <w:r>
        <w:rPr>
          <w:b/>
        </w:rPr>
        <w:t>E. 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w:t>
      </w:r>
    </w:p>
    <w:p>
      <w:r>
        <w:rPr>
          <w:b/>
        </w:rPr>
        <w:t>E. 2.1</w:t>
      </w:r>
    </w:p>
    <w:p>
      <w:r>
        <w:t>Auf dem Gebiete der Fremdenpolizei ist die Verwaltungsgerichtsbeschwerde unzulässig gegen die Erteilung oder Verweigerung von Bewilligungen, auf die das Bundesrecht keinen Anspruch einräumt (Art. 100 Abs. 1 lit. b Ziff. 3 OG). Gegen Entscheide über den Widerruf oder die Feststellung des Erlöschens einer Anwesenheitsbewilligung ist die Verwaltungsgerichtsbeschwerde hingegen zulässig, unabhängig davon, ob ein Anspruch auf Bewilligung besteht oder nicht ( BGE 99 Ib 1 E. 2 S. 4 f.; unveröffentlichte E. 1a zu BGE 120 Ib 369 sowie unver-öffentlichte E. 1a zu BGE 112 Ib 1 ). Der Beschwerdeführer ist durch den angefochtenen Entscheid berührt und hat ein schutzwürdiges Interesse an dessen Aufhebung oder Änderung ( Art. 103 lit. a OG ). Auf die Verwaltungsgerichtsbeschwerde ist demnach einzutreten. Anfechtungsgegenstand bildet dabei aber einzig das verwaltungsgerichtliche Urteil (vgl. Art. 98 lit. g i.V. mit Art. 98a OG ). Soweit der Beschwerdeführer auch die Aufhebung des Departementsentscheides bzw. der Verfügung des Ausländeramtes verlangt, ist auf sein Begehren nicht einzutreten (vgl. BGE 125 II 29 E. 1c S. 33).</w:t>
      </w:r>
    </w:p>
    <w:p>
      <w:r>
        <w:rPr>
          <w:b/>
        </w:rPr>
        <w:t>E. 2.2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2.3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3.1</w:t>
      </w:r>
    </w:p>
    <w:p>
      <w:r>
        <w:t>Gemäss Art. 9 Abs. 3 lit. c des Bundesgesetzes vom 26. März 1931 über Aufenthalt und Niederlassung der Ausländer (ANAG, SR 142.20) erlischt die Niederlassungsbewilligung mit der Abmeldung oder wenn sich der Ausländer während sechs Monaten tatsächlich im Ausland aufhält; stellt der Ausländer vor deren Ablauf ein entsprechendes Begehren, so kann diese Frist bis auf zwei Jahre verlängert werden.</w:t>
      </w:r>
    </w:p>
    <w:p>
      <w:r>
        <w:t>Nach der gesetzlichen Regelung von Art. 9 Abs. 3 lit. c ANAG ist unerheblich, auf welchen Gründen der Auslandaufenthalt beruht ( BGE 120 Ib 369 E. 2c S. 372). Dauert er länger als sechs Monate und stellt der Ausländer vor Ablauf dieser Frist kein Verlängerungsbegehren, liegt ein zwingender Untergangsgrund vor. Die Niederlassungsbewilligung erlischt in solchen Fällen auch dann, wenn sich der Ausländer im Ausland in Haft befindet (Urteil 2A.308/2001 vom 15. November 2001 E. 3a mit Hinweisen).</w:t>
      </w:r>
    </w:p>
    <w:p>
      <w:r>
        <w:t>Hat der Ausländer - wie hier - rechtzeitig ein entsprechendes Gesuch gestellt, ist für den Entscheid über die Verlängerung der Frist nach Art. 9 Abs. 3 lit. c ANAG - von dem der Weiterbestand der Niederlassungsbewilligung abhängt - darauf abzustellen, ob aufgrund des deliktischen Verhaltens des Beschwerdeführers eine Ausweisung geboten wäre (erwähntes Urteil, E. 4e).</w:t>
      </w:r>
    </w:p>
    <w:p>
      <w:r>
        <w:rPr>
          <w:b/>
        </w:rPr>
        <w:t>E. 3.2</w:t>
      </w:r>
    </w:p>
    <w:p>
      <w:r>
        <w:t>Gemäss Art. 10 Abs. 1 lit. a ANAG kann ein Ausländer aus der Schweiz ausgewiesen werden, wenn er wegen eines Verbrechens oder Vergehens gerichtlich bestraft wurde. Die Ausweisung soll jedoch nur ausgesprochen werden, wenn sie nach den gesamten Umständen angemessen erscheint ( Art. 11 Abs. 3 ANAG ). Dabei sind namentlich die Schwere seines Verschuldens, die Dauer der Anwesenheit sowie die dem Betroffenen und seiner Familie drohenden Nachteile zu berücksichtigen (vgl. Art. 16 Abs. 3 ANAV [SR 142.201]; BGE 129 II 215 E. 3; 125 II 105 ff.). Je länger ein Ausländer in der Schweiz lebt, desto strengere Anforderungen sind grundsätzlich an die Voraussetzungen einer Ausweisung zu stellen. Selbst bei einem Ausländer, der bereits hier geboren ist und sein ganzes bisheriges Leben in der Schweiz verbracht hat ("Ausländer der zweiten Generation"), ist bei Gewaltdelikten bzw. wiederholter schwerer Straffälligkeit eine solche indessen nicht ausgeschlossen ( BGE 130 II 176 E. 4.4.2 S. 190; 125 II 521 E. 2b S. 523; 122 II 433 E. 2 und 3 S. 435 ff.). Bei sehr langer Anwesenheit in der Schweiz ist die Ausweisung in der Regel erst anzuordnen, wenn der Ausländer, statt sich zu bessern, mit der deliktischen Tätigkeit fortfährt und sich namentlich immer schwerere Straftaten zuschulden kommen lässt (Urteile 2A.370/2000 vom 16. November 2000, E. 5.c, und 2A.468/2000 vom 16. März 2001, E. 3b). Entscheidend sind immer die gesamten Umstände des Einzelfalles ( BGE 125 II 521 E. 2b S. 523 f. mit Hinweisen).</w:t>
      </w:r>
    </w:p>
    <w:p>
      <w:r>
        <w:rPr>
          <w:b/>
        </w:rPr>
        <w:t>E. 3.3.1</w:t>
      </w:r>
    </w:p>
    <w:p>
      <w:r>
        <w:t>Der Beschwerdeführer wurde im Jahre 2004 in Österreich wegen eines Drogendeliktes zu zwei Jahren Freiheitsstrafe verurteilt (vgl. vorne "A.". Damit liegt ein Ausweisungsgrund im Sinne von Art. 10 Abs. 1 lit. a ANAG vor. Zu prüfen bleibt die Verhältnismässigkeit einer Ausweisung.</w:t>
      </w:r>
    </w:p>
    <w:p>
      <w:r>
        <w:rPr>
          <w:b/>
        </w:rPr>
        <w:t>E. 3.3.2</w:t>
      </w:r>
    </w:p>
    <w:p>
      <w:r>
        <w:t>Das aus reiner Profitgier begangene Drogendelikt ist als gravierend einzustufen. Es besteht ein gewichtiges öffentliches Interesse an der Fernhaltung von ausländischen Drogenhändlern (vgl. zur strengen Praxis des Bundesgerichts bei Drogendelikten BGE 125 II 521 E. 4a/aa mit Hinweisen). Zugunsten des Beschwerdeführers lässt sich anführen, dass er seit 1994 und damit schon relativ lange in der Schweiz weilt. Er war bei der Einreise aber bereits 13 Jahre alt und ist damit kein "Ausländer der zweiten Generation", bei denen von der Möglichkeit der Ausweisung nur zurückhaltend Gebrauch zu machen ist (vgl. E. 3.2).</w:t>
      </w:r>
    </w:p>
    <w:p>
      <w:r>
        <w:rPr>
          <w:b/>
        </w:rPr>
        <w:t>E. 3.3.3</w:t>
      </w:r>
    </w:p>
    <w:p>
      <w:r>
        <w:t>Nach den vorliegenden Akten ist der Beschwerdeführer in der Schweiz fremdenpolizeilich bisher nie negativ aufgefallen. Auch das in Österreich gegen ihn ergangene Strafurteil bezeichnet ihn als "bislang unbescholten" (Strafurteil S. 6). Weder das angefochtene Urteil noch die vorhandenen Akten geben aber einen näheren Aufschluss über das bisherige Verhalten des Beschwerdeführers in der Schweiz und über seine berufliche und soziale Integration. Ebenso wenig ist ersichtlich, unter welchen Umständen er dazu kam, sich in Österreich als Drogenhändler zu betätigen und was es mit der geltend gemachten "aktuellen Geldnot" (Strafurteil S. 9) für eine Bewandtnis hatte.</w:t>
      </w:r>
    </w:p>
    <w:p>
      <w:r>
        <w:t>Die in Österreich ausgesprochene Freiheitsstrafe von zwei Jahren könnte, falls weitere Umstände den Beschwerdeführer in einem ungünstigen Licht erscheinen lassen, eine Ausweisung grundsätzlich rechtfertigen; erweist sich dagegen, dass der Beschwerdeführer beruflich und sozial gut integriert ist, wäre der Verlust der Niederlassungsbewilligung wegen des fraglichen einmaligen Fehltrittes unverhältnismässig. Die Sachverhaltsfeststellungen im angefochtenen Urteil sowie die eingereichten Akten erlauben keine Beurteilung dieser Frage. Ungeklärt sind im Übrigen auch die Art der bisherigen Beziehung des Beschwerdeführers zu seiner im Laufe des Rechtsmittelverfahrens geheirateten schweizerischen Ehefrau sowie die Umstände dieser Eheschliessung. Wiewohl diese in Kenntnis der drohenden bzw. erstinstanzlich bereits ausgesprochenen ausländerrechtlichen Massnahme eingegangene Ehe für die Interessenabwägung nur ein beschränktes Gewicht haben kann, bedarf auch dieser Aspekt einer näheren Prüfung.</w:t>
      </w:r>
    </w:p>
    <w:p>
      <w:r>
        <w:rPr>
          <w:b/>
        </w:rPr>
        <w:t>E. 4</w:t>
      </w:r>
    </w:p>
    <w:p>
      <w:r>
        <w:t>Nach dem Gesagten erweist sich die Verwaltungsgerichtsbeschwerde als begründet. Sie ist wegen unvollständiger Feststellung des Sachverhalts (vgl. E. 2.2) gutzuheissen, soweit darauf eingetreten werden kann, und die Angelegenheit ist zu neuer Beurteilung an die Vorinstanz zurückzuweisen ( Art. 114 Abs. 2 OG ).</w:t>
      </w:r>
    </w:p>
    <w:p>
      <w:r>
        <w:t>Entsprechend diesem Verfahrensausgang sind keine Kosten zu erheben ( Art. 156 Abs. 2 OG ). Hingegen hat der Kanton St. Gallen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