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2A.625/2005 vom 23. Dezember 2005</w:t>
      </w:r>
    </w:p>
    <w:p>
      <w:r>
        <w:t>Bundesgericht, 2005-12-23, DE</w:t>
      </w:r>
    </w:p>
    <w:p>
      <w:r>
        <w:rPr>
          <w:b/>
        </w:rPr>
        <w:t xml:space="preserve">Quelle: </w:t>
      </w:r>
      <w:r>
        <w:t>https://mcp.opencaselaw.ch/entscheid/bger_2A.625_2005</w:t>
      </w:r>
    </w:p>
    <w:p>
      <w:r>
        <w:t>FR: TF 2A.625/2005 du 23 décembre 2005</w:t>
      </w:r>
    </w:p>
    <w:p>
      <w:r>
        <w:t>IT: TF 2A.625/2005 del 23 dicembre 2005</w:t>
      </w:r>
    </w:p>
    <w:p>
      <w:pPr>
        <w:pStyle w:val="Heading2"/>
      </w:pPr>
      <w:r>
        <w:t>Regeste</w:t>
      </w:r>
    </w:p>
    <w:p>
      <w:r>
        <w:t>Nichtverlängerung der Jahresaufenthaltsbewilligung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1.2</w:t>
      </w:r>
    </w:p>
    <w:p>
      <w:r>
        <w:t>Im vorliegenden Fall lebt die Beschwerdeführerin zwar getrennt von ihrem Ehegatten, die Ehe besteht aber formell weiterhin (vgl. BGE 126 II 265 E. 1b S. 266 mit Hinweis). Gemäss Art. 7 Abs. 1 des Bundesgesetzes vom 26. März 1931 über Aufenthalt und Niederlassung der Ausländer (ANAG; SR 142.20) besitzt die Beschwerdeführerin somit grundsätzlich einen Rechtsanspruch auf die Erteilung einer Aufenthaltsbewilligung, weshalb das Rechtsmittel der Verwaltungsgerichtsbeschwerde zulässig ist.</w:t>
      </w:r>
    </w:p>
    <w:p>
      <w:r>
        <w:rPr>
          <w:b/>
        </w:rPr>
        <w:t>E. 1.3</w:t>
      </w:r>
    </w:p>
    <w:p>
      <w:r>
        <w:t>Soweit die Beschwerdeführerin mit der Berufung auf eine fünf Jahre dauernde Ehe sinngemäss einen Anspruch auf Niederlassungsbewilligung geltend machen möchte, könnte auf die Beschwerde nicht eingetreten werden, da die Niederlassungsbewilligung nicht Gegenstand des angefochtenen Urteils war. Wie sich aus den nachfolgenden Erwägungen ergibt, war die Ehe im Übrigen ohnehin bereits vor Entstehung eines Anspruchs auf die Niederlassungsbewilligung definitiv gescheitert.</w:t>
      </w:r>
    </w:p>
    <w:p>
      <w:r>
        <w:rPr>
          <w:b/>
        </w:rPr>
        <w:t>E. 1.4</w:t>
      </w:r>
    </w:p>
    <w:p>
      <w:r>
        <w:t>Anfechtungsobjekt ist einzig das Urteil des Verwaltungsgerichts des Kantons St. Gallen vom 13. September 2005. Soweit sich die Eingabe der Beschwerdeführerin gegen die Entscheide der unteren kantonalen Instanzen richtet und deren Aufhebung verlangt, kann darauf nicht eingetreten werden.</w:t>
      </w:r>
    </w:p>
    <w:p>
      <w:r>
        <w:rPr>
          <w:b/>
        </w:rPr>
        <w:t>E. 1.5</w:t>
      </w:r>
    </w:p>
    <w:p>
      <w:r>
        <w:t>Nach Art. 105 Abs. 2 OG ist das Bundesgericht an die Sachverhaltsfeststellungen des angefochtenen Entscheids gebunden, wenn - wie hier - eine richterliche Behörde als Vorinstanz entschieden hat und den Sachverhalt nicht offensichtlich unrichtig, unvollständig oder unter Verletzung wesentlicher Verfahrensvorschriften ermittelt hat. Ausgeschlossen ist ferner die Überprüfung der Angemessenheit ( Art. 104 lit. c OG ).</w:t>
      </w:r>
    </w:p>
    <w:p>
      <w:r>
        <w:rPr>
          <w:b/>
        </w:rPr>
        <w:t>E. 2.1</w:t>
      </w:r>
    </w:p>
    <w:p>
      <w:r>
        <w:t>Gemäss Art. 7 Abs. 1 ANAG hat der ausländische Ehegatte eines Schweizer Bürgers grundsätzlich Anspruch auf Erteilung und Verlängerung der Aufenthaltsbewilligung. Kein Anspruch besteht, wenn die Ehe eingegangen worden ist, um die Vorschriften über Aufenthalt und Niederlassung von Ausländern zu umgehen ( Art. 7 Abs. 2 ANAG ), sowie bei rechtsmissbräuchlicher Berufung auf eine definitiv gescheiterte Ehe.</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 Dass die Ehe nur noch formell und ohne Aussicht auf Aufnahme bzw. Wiederaufnahme einer ehelichen Gemeinschaft besteht, entzieht sich in der Regel dem direkten Beweis und ist bloss durch Indizien zu erstellen ( BGE 130 II 113 E. 10.2 S. 135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1.5).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Das Verwaltungsgericht geht in seinem Urteil von der dargestellten Rechtsprechung zur missbräuchlichen Berufung auf die Ehe aus. Nach relativ kurzer ehelicher Gemeinschaft haben sich die Ehegatten im August 2003 getrennt und haben seither nicht mehr zusammengelebt. Gemäss den für das Bundesgericht verbindlichen Feststellungen der Vorinstanz kommt für den Ehemann ein Zusammenleben nicht mehr in Frage. Ergänzend kann auf die Ausführungen im angefochtenen Entscheid verwiesen werden ( Art. 36a Abs. 3 OG ). Hinweise darauf, dass diese Feststellungen offensichtlich unrichtig wären, sind nicht ersichtlich und gehen namentlich auch nicht aus den Vorbringen der Beschwerdeführerin hervor. Aufgrund der Dauer des Zusammenlebens und der Tatsache, dass die Ehe für den Ehemann offensichtlich definitiv gescheitert ist und er sich nach Ablauf der erforderlichen Trennungszeit scheiden lassen will, kann die Beschwerdeführerin nicht ernsthaft damit rechnen, das eheliche Zusammenleben werde zu irgend einem Zeitpunkt nochmals aufgenommen. Dies umso weniger, nachdem der Ehemann am 28. September 2004 erklärt hat, er lebe mit seiner Freundin zusammen. Umstände oder eigene Bemühungen, die darauf schliessen liessen, dass konkret Hoffnung auf Versöhnung bestünde, macht die Beschwerdeführerin keine geltend.</w:t>
      </w:r>
    </w:p>
    <w:p>
      <w:r>
        <w:rPr>
          <w:b/>
        </w:rPr>
        <w:t>E. 3.2</w:t>
      </w:r>
    </w:p>
    <w:p>
      <w:r>
        <w:t>Bei gesamthafter Betrachtung aller Indizien musste sich für das Verwaltungsgericht der Schluss aufdrängen, dass keine Aussichten auf Wiederaufnahme der ehelichen Gemeinschaft mehr bestanden. Wenn sich die Beschwerdeführerin unter den dargelegten Umständen dennoch auf die Ehe beruft, um die Verlängerung der Aufenthaltsbewilligung zu erwirken, handelt sie rechtsmissbräuchlich.</w:t>
      </w:r>
    </w:p>
    <w:p>
      <w:r>
        <w:rPr>
          <w:b/>
        </w:rPr>
        <w:t>E. 4</w:t>
      </w:r>
    </w:p>
    <w:p>
      <w:r>
        <w:t>Das am 26. Oktober 2004 unterzeichnete Protokoll über die Ausdehnung des Freizügigkeitsabkommens auf die neuen EG-Mitgliedstaaten (BBl 2004 S. 5943 ff.), welches die Bestimmungen des Freizügigkeitsabkommens für die neuen Mitgliedstaaten (darunter Tschechien) unter im Protokoll festgelegten Bedingungen für ebenso verbindlich erklärt wie für die derzeitigen Vertragsparteien (Art. 1 Ziff. 2 des Protokolls), ist noch nicht in Kraft getreten. Infolgedessen können Staatsangehörige der neuen EG-Mitgliedstaaten daraus noch keine Anwesenheitsrechte ableiten. Inwiefern das zu Gesichtspunkten der Strafzumessung ergangene Urteil 6S.150/2005 vom 16. Januar 2004, auf das sich die Beschwerdeführerin beruft, daran etwas ändern sollte, ist nicht ersichtlich.</w:t>
      </w:r>
    </w:p>
    <w:p>
      <w:r>
        <w:rPr>
          <w:b/>
        </w:rPr>
        <w:t>E. 5</w:t>
      </w:r>
    </w:p>
    <w:p>
      <w:r>
        <w:t>Soweit die Beschwerdeführerin sinngemäss die Erteilung einer Aufenthaltsbewilligung gestützt auf Art. 4 ANAG verlangt, der eine Bewilligung ins freie Ermessen der Behörden stellt, ist die Verwaltungsgerichtsbeschwerde unzulässig und kann darauf nicht eingetreten werden (Art. 100 Abs. 1 lit. b Ziff. 3 OG). Im Übrigen wäre diesbezüglich mangels Legitimation auch die staatsrechtliche Beschwerde ausgeschlossen (vgl. BGE 126 I 81 E. 4-6 S. 85 ff.).</w:t>
      </w:r>
    </w:p>
    <w:p>
      <w:r>
        <w:rPr>
          <w:b/>
        </w:rPr>
        <w:t>E. 6.1</w:t>
      </w:r>
    </w:p>
    <w:p>
      <w:r>
        <w:t>Die Beschwerde ist somit offensichtlich unbegründet und im vereinfachten Verfahren nach Art. 36a OG abzuweisen, soweit darauf eingetreten werden kann. Mit dem Entscheid in der Sache wird das Gesuch um aufschiebende Wirkung gegenstandslos.</w:t>
      </w:r>
    </w:p>
    <w:p>
      <w:r>
        <w:rPr>
          <w:b/>
        </w:rPr>
        <w:t>E. 6.2</w:t>
      </w:r>
    </w:p>
    <w:p>
      <w:r>
        <w:t>Bei diesem Ausgang des bundesgerichtlichen Verfahrens wird die Beschwerdeführerin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