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2A.619/2005 vom 2. März 2006</w:t>
      </w:r>
    </w:p>
    <w:p>
      <w:r>
        <w:t>Bundesgericht, 2006-03-02, DE</w:t>
      </w:r>
    </w:p>
    <w:p>
      <w:r>
        <w:rPr>
          <w:b/>
        </w:rPr>
        <w:t xml:space="preserve">Quelle: </w:t>
      </w:r>
      <w:r>
        <w:t>https://mcp.opencaselaw.ch/entscheid/bger_2A.619_2005</w:t>
      </w:r>
    </w:p>
    <w:p>
      <w:r>
        <w:t>FR: TF 2A.619/2005 du 2 mars 2006</w:t>
      </w:r>
    </w:p>
    <w:p>
      <w:r>
        <w:t>IT: TF 2A.619/2005 del 2 marzo 2006</w:t>
      </w:r>
    </w:p>
    <w:p>
      <w:pPr>
        <w:pStyle w:val="Heading2"/>
      </w:pPr>
      <w:r>
        <w:t>Erwägungen</w:t>
      </w:r>
    </w:p>
    <w:p>
      <w:r>
        <w:rPr>
          <w:b/>
        </w:rPr>
        <w:t>E. 1.1</w:t>
      </w:r>
    </w:p>
    <w:p>
      <w:r>
        <w:t>Streitgegenstand bildet die Frage, ob der Beschwerdeführer die Voraussetzungen für den Eintrag ins kantonale Anwaltsregister (noch) erfüllt. Diese Frage ist bundesrechtlich geregelt (Art. 6 ff. des Bundesgesetzes vom 23. Juni 2000 über die Freizügigkeit der Anwältinnen und Anwälte [Anwaltsgesetz, BGFA; SR 935.61]). Der angefochtene Entscheid stützt sich damit auf Bundesrecht ( Art. 97 Abs. 1 OG in Verbindung mit Art. 5 VwVG ) und kann, da die Voraussetzungen gemäss Art. 98 ff. OG erfüllt sind, mit Verwaltungsgerichtsbeschwerde angefochten werden (vgl. BGE 130 II 87 E. 1 S. 90). Der Beschwerdeführer ist hierzu legitimiert ( Art. 103 lit. a OG ). Auf die form- und fristgerecht eingereichte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8 Abs. 1 BGFA müssen Anwälte für den Eintrag ins kantonale Anwaltsregister verschiedene persönliche Voraussetzungen erfüllen; unter anderem "dürfen gegen sie keine Verlustscheine bestehen" ( Art. 8 Abs. 1 lit. c BGFA ).</w:t>
      </w:r>
    </w:p>
    <w:p>
      <w:r>
        <w:t>Diese Regelung knüpft an das Bestehen von Verlustscheinen im Sinne des Bundesgesetzes vom 11. April 1889 über Schuldbetreibung und Konkurs (SchKG; SR 281.1) an, seien es solche aus der Betreibung auf Pfändung ( Art. 89 ff. SchKG , hier insbesondere Art. 115 und Art. 149), oder solche aus der Betreibung auf Konkurs ( Art. 159 ff. SchKG , hier insbesondere Art. 265). War bei der Betreibung auf Pfändung kein pfändbares Vermögen vorhanden, so bildet die Pfändungsurkunde den (definitiven) Verlustschein im Sinne des Artikels 149 ( Art. 115 Abs. 1 SchKG , vgl. Kurt Amonn/Fridolin Walther, Grundriss des Schuldbetreibungs- und Konkursrechts, 7. Auflage 2003, § 22 Rz. 81). Art. 115 Abs. 2 SchKG bezeichnet für den Fall, dass in der Betreibung auf Pfändung "nach der Schätzung des Beamten nicht genügendes Vermögen vorhanden" war, die Pfändungsurkunde als "provisorischen Verlustschein" (vgl. Amonn/ Walther,a.a.O., § 22 Rz. 82).</w:t>
      </w:r>
    </w:p>
    <w:p>
      <w:r>
        <w:rPr>
          <w:b/>
        </w:rPr>
        <w:t>E. 2.2</w:t>
      </w:r>
    </w:p>
    <w:p>
      <w:r>
        <w:t>Der Beschwerdeführer wendet ein, gegen ihn seien bislang keine definitiven Verlustscheine ausgestellt worden. Seiner Ansicht nach werden die provisorischen Verlustscheine nach Art. 115 Abs. 2 SchKG von Art. 8 Abs. 1 lit. c BGFA nicht erfasst; der Gesetzgeber sei bei dieser Regelung von Verlustscheinen nach Art. 115 Abs. 1 bzw. Art. 149 SchKG ausgegangen. Wenn das Verwaltungsgericht eine Pfändungsurkunde gemäss Art. 115 Abs. 2 SchKG einem (definitiven) Verlustschein gleichstelle, begehe es eine Rechtsverletzung (S. 3 der Beschwerdeschrift).</w:t>
      </w:r>
    </w:p>
    <w:p>
      <w:r>
        <w:rPr>
          <w:b/>
        </w:rPr>
        <w:t>E. 3.1</w:t>
      </w:r>
    </w:p>
    <w:p>
      <w:r>
        <w:t>Die Regelung von Art. 8 Abs. 1 lit. c BGFA will die Zahlungsfähigkeit des Anwalts sicherstellen. Die Klienten sollen ihm bedenkenlos finanzielle Mittel anvertrauen können und nicht befürchten müssen, dass der Anwalt diese Mittel wegen Zahlungsschwierigkeiten nicht zurückgeben kann (vgl. Ernst Staehelin/Christian Oetiker in: Fellmann/ Zindel [Hrsg], Kommentar zum Anwaltsgesetz, Zürich 2005, Rz. 23 zu Art. 8 BGFA ). Die Eintragung ins kantonale Anwaltsregister muss unabhängig davon verweigert werden, ob es sich um einen provisorischen oder um einen definitiven Verlustschein handelt (Staehelin/ Oetiker, a.a.O, Rz. 25 zu Art. 8 BGFA ). So war bereits in der Botschaft des Bundesrates vom 28. April 1999 zum Anwaltsgesetz - zur damals in Art. 7 des Gesetzesentwurfes vorgesehenen entsprechenden Regelung - ausdrücklich festgehalten, dass gegen Anwältinnen und Anwälte "weder provisorische noch definitive Verlustscheine bestehen" dürfen (BBl 1999 6013 ff., 6050). Dem wurde in den parlamentarischen Beratungen diskussionslos zugestimmt (vgl. AB 1999 S 1165 ff., AB 2000 N 38 ff.). Die Auffassung des Beschwerdeführers, der Gesetzgeber habe die provisorischen Verlustscheine beim Erlass von Art. 8 Abs. 1 lit. c BGFA nicht miterfassen wollen, erscheint damit unbegründet.</w:t>
      </w:r>
    </w:p>
    <w:p>
      <w:r>
        <w:rPr>
          <w:b/>
        </w:rPr>
        <w:t>E. 3.2</w:t>
      </w:r>
    </w:p>
    <w:p>
      <w:r>
        <w:t>Nach den für das Bundesgericht grundsätzlich verbindlichen Feststellungen des Verwaltungsgerichts (vgl. E. 1.2) sind gegen den Beschwerdeführer sowohl vor der Konkurseröffnung als auch nach der Einstellung des Konkursverfahrens zahlreiche Pfändungen durchgeführt worden, welche eine ungenügende Deckung erbracht hatten (S. 7 des angefochtenen Entscheides; vgl. auch den Auszug aus dem Betreibungsregister über die Periode vom 1. Januar 2003 bis zum 14. April 2005 sowie die Pfändungsurkunde des Betreibungsamtes Frauenfeld vom 20. April 2005). Damit liegen - ungetilgte (vgl. Staehelin/Oetiker, a.a.O., Rz. 27 zu Art. 8 BGFA ) - Verlustscheine gegen den Beschwerdeführer vor. Dass es sich dabei um bloss provisorische im Sinne von Art. 115 Abs. 2 SchKG handelt, ändert nach dem Gesagten nichts daran, dass der Beschwerdeführer die Voraussetzung von Art. 8 Abs. 1 lit. c BGFA nicht (mehr) erfüllt und deshalb aus dem kantonalen Anwaltsregister zu löschen ist ( Art. 9 BGFA ).</w:t>
      </w:r>
    </w:p>
    <w:p>
      <w:r>
        <w:rPr>
          <w:b/>
        </w:rPr>
        <w:t>E. 4</w:t>
      </w:r>
    </w:p>
    <w:p>
      <w:r>
        <w:t>Dies führt zur Abweisung der Verwaltungsgerichtsbeschwerde.</w:t>
      </w:r>
    </w:p>
    <w:p>
      <w:r>
        <w:t>Bei diesem Ausgang des Verfahrens sind die Gerichtskosten dem Beschwerdeführer aufzuerlegen (Art. 156 in Verbindung mit Art. 153 und 153a OG ). Parteientschädigungen sind keine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