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2A.619/2003 vom 2. August 2004</w:t>
      </w:r>
    </w:p>
    <w:p>
      <w:r>
        <w:t>Bundesgericht, 2004-08-02, DE</w:t>
      </w:r>
    </w:p>
    <w:p>
      <w:r>
        <w:rPr>
          <w:b/>
        </w:rPr>
        <w:t xml:space="preserve">Quelle: </w:t>
      </w:r>
      <w:r>
        <w:t>https://mcp.opencaselaw.ch/entscheid/bger_2A.619_2003</w:t>
      </w:r>
    </w:p>
    <w:p>
      <w:r>
        <w:t>FR: TF 2A.619/2003 du 2 août 2004</w:t>
      </w:r>
    </w:p>
    <w:p>
      <w:r>
        <w:t>IT: TF 2A.619/2003 del 2 agosto 2004</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127 II 425 E. 1 S. 427, mit Hinweisen).</w:t>
      </w:r>
    </w:p>
    <w:p>
      <w:r>
        <w:rPr>
          <w:b/>
        </w:rPr>
        <w:t>E. 1.2</w:t>
      </w:r>
    </w:p>
    <w:p>
      <w:r>
        <w:t>Die vorliegende Verwaltungsgerichtsbeschwerde richtet sich gegen den Entscheid einer nach Art. 98a OG zuständigen kantonalen Gerichtsinstanz, die aufgrund einer zu Art. 100 Abs. 1 lit. b Ziff. 3 OG analogen kantonalen Zugangsregelung auf ein bei ihr erhobenes Rechtsmittel nicht eingetreten ist, da sie einen Rechtsanspruch auf die streitige fremdenpolizeiliche Bewilligung verneint hat (vgl. § 19 Abs. 1 lit. a des Luzerner Gesetzes vom 1. Dezember 1948 über die Niederlassung und den Aufenthalt sowie über die Zwangsmassnahmen im Ausländerrecht). Hiegegen kann der Rechtsuchende, wenn er - wie hier - die Verneinung des Rechtsanspruches als bundesrechtswidrig anfechten will, mit Verwaltungsgerichtsbeschwerde an das Bundesgericht gelangen ( BGE 127 II 161 E. 3a S. 167). Weil deren Zulässigkeit ihrerseits vom Vorhandensein eines entsprechenden Rechtsanspruchs abhängt ( BGE 127 II 60 E. 1a S. 62 f., 161 E. 1a S. 164), ist die Frage nach dem Bestehen eines solchen im Rahmen der Eintretensvoraussetzungen zu prüfen ( BGE 127 II 161 E. 1b S. 165; zur Publikation vorgesehenes Urteil 2A.472/2003 vom 1. Juni 2004, E. 1).</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2</w:t>
      </w:r>
    </w:p>
    <w:p>
      <w:r>
        <w:t>Vorliegend ergibt sich aus dem schweizerischen Gesetzesrecht kein Anspruch auf eine Aufenthaltsbewilligung: Die frühere Ehe des Beschwerdeführers mit einer Schweizer Bürgerin wurde nach dreieinhalb Jahren geschieden, so dass ein Anspruch gestützt auf Art. 7 Abs. 1 ANAG , der dem ausländischen Ehegatten eines Schweizer Bürgers einen Anspruch auf Erteilung und Verlängerung der Aufenthaltsbewilligung bzw. nach einem ordnungsgemässen und ununterbrochenen Aufenthalt von fünf Jahren einen Anspruch auf die Niederlassungsbewilligung einräumt, ausser Betracht fällt. Mit seiner neuen brasilianischen Partnerin ist der Beschwerdeführer nicht verheiratet; zudem besitzt diese heute nur eine Aufenthaltsbewilligung, so dass er sich auch nicht auf die Bestimmung von Art. 17 ANAG , die das Nachzugsrecht der Ehegatten niedergelassener Ausländer regelt, berufen kann.</w:t>
      </w:r>
    </w:p>
    <w:p>
      <w:r>
        <w:rPr>
          <w:b/>
        </w:rPr>
        <w:t>E. 3</w:t>
      </w:r>
    </w:p>
    <w:p>
      <w:r>
        <w:t>Es stellt sich einzig die Frage, ob ein Anspruch auf die beantragte Bewilligung - wie der Beschwerdeführer geltend macht - allenfalls unmittelbar gestützt auf Garantien der Europäischen Menschenrechtskonvention oder der Bundesverfassung besteht. Art. 8 EMRK - sowie seit dem 1. Januar 2000 auch Art. 13 Abs. 1 BV (vgl. BGE 126 II 377 E. 7 S. 394) - gewährleisten das Recht auf Achtung des Privat- und Familienlebens. Es kann diese Garantien verletzen, wenn einem Ausländer, dessen Familienangehörige hier weilen, die Anwesenheit untersagt und damit das Familienleben vereitelt wird ( BGE 127 II 60 E. 1d/aa S. 64 f.; 126 II 335 E. 2a S. 339, 377 E. 2b S. 382 ff.; 118 Ib 145 E. 4 S. 152, 153 E. 1c S. 157; 109 Ib 183 E. 2 S. 185 ff.). Der sich hier aufhaltende 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 BGE 126 II 335 E. 2a S. 339 f. mit Hinweisen). Solches trifft für die Partnerin des Beschwerdeführers, die heute 22 Jahre alt ist (und offenbar 12 davon in der Schweiz verbracht hat) nicht zu. Noch weniger kann sich der Beschwerdeführer auf die Beziehung zum Kind berufen, welches ebenfalls kein festes Anwesenheitsrecht besitzt und gegenüber dem der Beschwerdeführer lediglich ein Besuchsrecht ausüben kann. Eine solche Beziehung vermag selbst bei einem festen Anwesenheitsrecht des Kindes dem ausländischen Elternteil in der Regel noch keinen Anwesenheitsanspruch zu verschaffen (vgl. hiezu Urteile 2A.563/2002 vom 23. Mai 2003, E. 2.2 und 2A.10/2001 vom 11. Mai 2001, E. 2b). Dass die neue Partnerin und ihr Kind Aussicht darauf haben, allenfalls im Jahre 2005 das schweizerische Bürgerrecht zu erhalten, ändert nichts daran, dass der Beschwerdeführer bei der heutigen Rechts- und Sachlage keinen Anspruch auf die anbegehrte Aufenthaltsbewilligung geltend machen kann.</w:t>
      </w:r>
    </w:p>
    <w:p>
      <w:r>
        <w:rPr>
          <w:b/>
        </w:rPr>
        <w:t>E. 4</w:t>
      </w:r>
    </w:p>
    <w:p>
      <w:r>
        <w:t>Damit erscheint es bundesrechtskonform, wenn das Verwaltungsgericht das Vorliegen eines Rechtsanspruchs auf die Verlängerung der Aufenthaltsbewilligung verneint hat. Aus dem gleichen Grund kann auf die vorliegende Verwaltungsgerichtsbeschwerde nicht eingetreten werden (vgl. E. 1.2). Bei diesem Verfahrensausgang wird der Beschwerdeführer kostenpflichtig (Art. 156 in Verbindung mit Art. 153 und 153a OG ). Da er nicht ernsthaft mit einer Gutheissung seiner Rechtsbegehren rechnen konnte, ist sein Gesuch um unentgeltliche Rechtspflege abzuweisen ( Art. 152 OG ). Bei der Bemessung der Gerichtsgebühr wird seiner finanziellen Lage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