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2A.614/2005 vom 20. Januar 2006</w:t>
      </w:r>
    </w:p>
    <w:p>
      <w:r>
        <w:t>Bundesgericht, 2006-01-20, FR</w:t>
      </w:r>
    </w:p>
    <w:p>
      <w:r>
        <w:rPr>
          <w:b/>
        </w:rPr>
        <w:t xml:space="preserve">Quelle: </w:t>
      </w:r>
      <w:r>
        <w:t>https://mcp.opencaselaw.ch/entscheid/bger_2A.614_2005</w:t>
      </w:r>
    </w:p>
    <w:p>
      <w:r>
        <w:t>FR: TF 2A.614/2005 du 20 janvier 2006</w:t>
      </w:r>
    </w:p>
    <w:p>
      <w:r>
        <w:t>IT: TF 2A.614/2005 del 20 gennaio 2006</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Le recourant n'indique pas s'il agit par la voie du recours de droit public ou de droit administratif. Dans la mesure où la voie du recours de droit administratif est, en principe, ouverte contre les décisions relatives à l'assujettissement aux mesures de limitation prévues par l'ordonnance limitant le nombre des étrangers ( ATF 128 II 145 consid. 1.1.1 p. 148 et les arrêts cités), il faut considérer l'écriture du recourant comme un recours de droit administratif.</w:t>
      </w:r>
    </w:p>
    <w:p>
      <w:r>
        <w:rPr>
          <w:b/>
        </w:rPr>
        <w:t>E. 1.2</w:t>
      </w:r>
    </w:p>
    <w:p>
      <w:r>
        <w:t>La conclusion du recourant tendant à l'octroi d'une autorisation de séjour est irrecevable. Dans le cadre de l'application de l'art. 13 lettre f OLE, l'autorité fédérale ne peut en effet se prononcer que sur le principe d'une exception aux mesures de limitation du nombre des étrangers ( art. 52 lettre a OLE ), la délivrance de l'autorisation de séjour proprement dite étant de la compétence des cantons.</w:t>
      </w:r>
    </w:p>
    <w:p>
      <w:r>
        <w:rPr>
          <w:b/>
        </w:rPr>
        <w:t>E. 1.3</w:t>
      </w:r>
    </w:p>
    <w:p>
      <w:r>
        <w:t>Pour le surplus, déposé en temps utile et dans les formes requises, le présent recours est recevable au regard des art. 97 ss OJ .</w:t>
      </w:r>
    </w:p>
    <w:p>
      <w:r>
        <w:rPr>
          <w:b/>
        </w:rPr>
        <w:t>E. 2</w:t>
      </w:r>
    </w:p>
    <w:p>
      <w:r>
        <w:t>Conformément à l' art. 104 lettre a OJ , le recours de droit administratif peut être formé pour violation du droit fédéral, y compris l'excès et l'abus du pouvoir d'appréciation ( ATF 128 II 56 consid. 2a p. 60; 145 consid. 1.2.1 p. 150). Le Tribunal fédéral revoit d'office l'application du droit fédéral qui englobe notamment les droits constitutionnels du citoyen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3</w:t>
      </w:r>
    </w:p>
    <w:p>
      <w:r>
        <w:t>Le recourant soutient que l'autorité intimée a violé son droit d'être entendu en se référant à un protocole de police du 15 octobre 2003 aux termes duquel son ex-épouse avait déclaré qu'il ne s'était pas toujours acquitté régulièrement du paiement de la contribution d'entretien en faveur de ses filles, document dont il n'avait pas eu connaissance. Ce procès-verbal d'audition figure tant dans le dossier du Service de la population que celui de l'Office fédéral. Le recourant - ou son conseil de l'époque - pouvait en tout temps solliciter la production de l'un ou l'autre de ces dossiers afin de prendre connaissance de l'entier des pièces constituées. Or, le recourant n'établit pas qu'il ait agi dans ce sens et qu'il ait essuyé un refus. En outre, il s'agit d'un aspect secondaire qui ne pouvait et ne peut pas influencer le résultat d'une manière déterminante, vu l'ensemble des circonstances.</w:t>
      </w:r>
    </w:p>
    <w:p>
      <w:r>
        <w:t>Le grief tiré d'une violation du droit d'être entendu est en conséquence infondé.</w:t>
      </w:r>
    </w:p>
    <w:p>
      <w:r>
        <w:rPr>
          <w:b/>
        </w:rPr>
        <w:t>E. 4.1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soutenable du point de vue politique ( ATF 130 II 39 consid. 3 p. 41).</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les références citées).</w:t>
      </w:r>
    </w:p>
    <w:p>
      <w:r>
        <w:rPr>
          <w:b/>
        </w:rPr>
        <w:t>E. 4.2</w:t>
      </w:r>
    </w:p>
    <w:p>
      <w:r>
        <w:t>Le recourant ne critique pas l'appréciation de l'autorité intimée selon laquelle ni la durée de son séjour en Suisse - illégale jusqu'à l'obtention d'une simple tolérance de séjour le 31 juillet 2003 -, ni sa situation professionnelle ou son intégration sociale seraient constitutives d'un cas de rigueur au sens de l'art. 13 lettre f OLE. Il reproche essentiellement au Département fédéral d'avoir insuffisamment tenu compte de ses relations familiales en Suisse. Se prévalant d'une relation étroite entretenue avec ses filles au travers d'un droit de visite portant sur six jours par mois, il fait valoir que son retour en Equateur aurait pour effet de rendre l'exercice de ce droit purement théorique, dans la mesure où il ne disposerait pas des moyens financiers pour rencontrer régulièrement ses filles. En outre, il ne pourrait plus s'acquitter de la pension alimentaire qu'il verse régulièrement en leur faveur en raison de la situation économique dans son pays d'origine. Cette rupture des liens familiaux constituerait une violation de la protection que lui confère l' art. 8 CEDH .</w:t>
      </w:r>
    </w:p>
    <w:p>
      <w:r>
        <w:rPr>
          <w:b/>
        </w:rPr>
        <w:t>E. 4.2.1</w:t>
      </w:r>
    </w:p>
    <w:p>
      <w:r>
        <w:t>Un étranger peut, selon les circonstances, se prévaloir du droit au respect de sa vie privée et familiale au sens de l' art 8 CEDH pour s'opposer à une éventuelle séparation de sa famille s'il peut invoquer une relation avec une personne de cette famille disposant d'un droit de s'établir en Suisse et que cette relation soit étroite et effective ( ATF 129 II 193 consid. 5.3.1 p. 211, 215 consid. 4.1 p. 218). Le droit de s'établir en Suisse est en principe réservé aux ressortissants suisses et aux titulaires d'une autorisation d'établissement ( ATF 127 II 60 consid. 1d/aa p. 64; 126 II 377 consid. 2b p. 382; 125 II 633 consid. 2a p. 63). Le recourant est le père de deux filles de nationalité équatorienne titulaires d'une autorisation obtenue du fait du remariage de leur mère avec un ressortissant français et pouvant se prévaloir d'un droit de présence en Suisse en vertu de l'Accord du 21 juin 1999 sur la libre circulation des personnes conclu, d'une part, entre la Confédération Suisse, et la Communauté européenne et ses Etats membres, d'autre part. Toutefois, même s'il pouvait se prévaloir d'un droit au respect de la vie privée et familiale garanti par l'art. 8 paragraphe 1 CEDH, il n'en résulterait pas nécessairement qu'il soit soustrait aux mesures de limitation en vertu de l'art. 13 lettre f OLE. Inversement, l' art. 8 CEDH ne peut être directement violé dans la procédure relative à l'assujettissement aux mesures de limitation, puisque la décision qui est prise ne porte pas sur le droit de séjourner en Suisse. En revanche, les critères découlant de l' art. 8 CEDH peuvent être pris en considération pour examiner si l'on est en présence d'un cas personnel d'extrême gravité au sens de l'art. 13 lettre f OLE, dans la mesure où des motifs d'ordre familial seraient liés à cette situation (arrêts 2A.474/2001 du 15 février 2002 en la cause CM., consid. 4.2 et 2A.145/2001 du 7 mai 2001 en la cause L., consid. 2c, non publiés).</w:t>
      </w:r>
    </w:p>
    <w:p>
      <w:r>
        <w:t>Le droit au respect de la vie privée et familiale garanti par l'art. 8 paragraphe 1 CEDH n'est pas absolu. Une ingérence dans l'exercice de ce droit est possible selon l'art. 8 paragraphe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publics et privés en présence ( ATF 122 II 1 consid. 2 p.5/6; 120 Ib 22 consid. 4a p. 25). Il faut qu'il existe des liens familiaux particulièrement forts dans les domaines affectif et économique pour que l'intérêt public à une politique restrictive en matière de séjour des étrangers et d'immigration passe au second plan ( ATF 120 Ib 1 consid. 3c p. 5).</w:t>
      </w:r>
    </w:p>
    <w:p>
      <w:r>
        <w:t>En ce qui concerne l'intérêt privé à l'octroi d'une exception aux mesures de limitation,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w:t>
      </w:r>
    </w:p>
    <w:p>
      <w:r>
        <w:rPr>
          <w:b/>
        </w:rPr>
        <w:t>E. 4.2.2</w:t>
      </w:r>
    </w:p>
    <w:p>
      <w:r>
        <w:t>Dans le cas particulier, le recourant n'a pas la garde de ses filles, qui vivent auprès de leur mère. Il exerce certes régulièrement son droit de visite et semble participer aux frais d'entretien et d'éducation de ses filles. Or, le seul maintien d'un tel lien familial est insuffisant pour entraîner une exception aux mesures de limitation du nombre des étrangers, compte tenu notamment de la violation caractérisée de la législation concernant le statut des étrangers dont le recourant s'est rendu coupable. S'il est vrai qu'il ne faut pas exagérer l'importance des infractions inhérentes à la condition de travailleur clandestin, à savoir l'entrée, le séjour et le travail en Suisse sans autorisation, le comportement du recourant est particulièrement critiquable dans la mesure où il n'a pas hésité à braver à deux reprises l'interdiction d'entrée en Suisse qui lui avait été notifiée, une première fois en février 1996, peu après la communication de cette mesure qu'il a fait mine de respecter, et une seconde fois en décembre 1996, après la célébration de son mariage en Equateur. De ce point de vue, sa situation est sensiblement différente de celle du ressortissant péruvien qu'il cite dans son recours (arrêt non publié 2A.271/2004 du 7 octobre 2004). En définitive, le recourant ne peut se prévaloir ni de liens particulièrement étroits avec ses filles, ni d'un comportement irréprochable (arrêt non publié 2A.423/2005 du 25 octobre 2005, consid. 4.3). Il convient encore de relever que le recourant ne peut pas non plus se prévaloir d'une intégration particulièrement réussie, ni d'une situation professionnelle fortement assurée.</w:t>
      </w:r>
    </w:p>
    <w:p>
      <w:r>
        <w:t>On ne saurait considérer que les difficultés liées à l'aménagement d'un droit de visite adapté à la distance géographique séparant un parent de ses enfants soit, compte tenu des circonstances mentionnées ci-dessus, constitutif d'un cas de détresse personnelle. De nombreux étrangers se trouvent en effet confrontés à de telles situations pénibles, consécutives à la séparation ou au divorce d'avec leur conjoint. A cet égard, la condition de père divorcé du recourant, comparée à celle de nombreux étrangers placés dans la même situation, n'entraîne pas des conséquences telles qu'elle justifie de le soustraire aux restrictions des nombres maximums prévus par l'ordonnance limitant le nombre des étrangers (arrêt non publié 2A.542/2005 du 11 novembre 2005 en la cause MB., consid. 3.2.3).</w:t>
      </w:r>
    </w:p>
    <w:p>
      <w:r>
        <w:t>Dans ces circonstances, le Département fédéral n'a pas violé le droit fédéral en soutenant que la nature des relations que le recourant entretient avec ses filles ne permettait pas de retenir l'existence d'un cas personnel d'extrême gravité au sens de l'art. 13 lettre f OLE.</w:t>
      </w:r>
    </w:p>
    <w:p>
      <w:r>
        <w:rPr>
          <w:b/>
        </w:rPr>
        <w:t>E. 5</w:t>
      </w:r>
    </w:p>
    <w:p>
      <w:r>
        <w:t>Vu ce qui précède, le recours doit être rejeté dans la mesure où il est recevable.</w:t>
      </w:r>
    </w:p>
    <w:p>
      <w:r>
        <w:t>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