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2A.60/2002 vom 25. April 2003</w:t>
      </w:r>
    </w:p>
    <w:p>
      <w:r>
        <w:t>Bundesgericht, 2003-04-25, DE</w:t>
      </w:r>
    </w:p>
    <w:p>
      <w:r>
        <w:rPr>
          <w:b/>
        </w:rPr>
        <w:t xml:space="preserve">Quelle: </w:t>
      </w:r>
      <w:r>
        <w:t>https://mcp.opencaselaw.ch/entscheid/bger_2A.60_2002</w:t>
      </w:r>
    </w:p>
    <w:p>
      <w:r>
        <w:t>FR: TF 2A.60/2002 du 25 avril 2003</w:t>
      </w:r>
    </w:p>
    <w:p>
      <w:r>
        <w:t>IT: TF 2A.60/2002 del 25 aprile 2003</w:t>
      </w:r>
    </w:p>
    <w:p>
      <w:pPr>
        <w:pStyle w:val="Heading2"/>
      </w:pPr>
      <w:r>
        <w:t>Erwägungen</w:t>
      </w:r>
    </w:p>
    <w:p>
      <w:r>
        <w:rPr>
          <w:b/>
        </w:rPr>
        <w:t>E. 1</w:t>
      </w:r>
    </w:p>
    <w:p>
      <w:r>
        <w:t>Die beiden Verwaltungsgerichtsbeschwerden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w:t>
      </w:r>
    </w:p>
    <w:p>
      <w:r>
        <w:rPr>
          <w:b/>
        </w:rPr>
        <w:t>E. 2.1</w:t>
      </w:r>
    </w:p>
    <w:p>
      <w:r>
        <w:t>Das Verwaltungsgericht des Kantons Nidwalden handelte im vorliegenden Fall als kantonale Steuerrekurskommission im Sinne von Art. 140 ff. DBG . Gegen deren Entscheid ist die Verwaltungsgerichtsbeschwerde zulässig ( Art. 146 DBG ). Das kantonale Steueramt ist als kantonale Verwaltung für die direkte Bundessteuer zur Beschwerde legitimiert (Art. 146 zweiter Satz DBG in Verbindung mit Art. 103 lit. c OG ). Auf die Beschwerde ist einzutreten.</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3.1</w:t>
      </w:r>
    </w:p>
    <w:p>
      <w:r>
        <w:t>Streitig ist im vorliegenden Fall, ob die Urteile des Verwaltungsgerichts, den Beschwerdegegner bei der direkten Bundessteuer im Zusammenhang mit dem unversteuert gebliebenen Liquidationserlös nicht mit einer Nachsteuer zu belegen und nicht wegen Steuerhinterziehung zu büssen, vor Bundesrecht standhalten. Die beiden Tatbestände sind nach dem neuen Recht der direkten Bundessteuer nicht mehr zwingend aneinander gekoppelt (dazu etwa Klaus A. Vallender, in: Zweifel/Athanas [Hrsg.], Kommentar zum schweizerischen Steuerrecht, Bd. I/2b, Bundesgesetz über die direkte Bundessteuer [DBG], Art. 83-222, Basel/Genf/München 2000, N 5 f. zu Art. 151). Im Folgenden ist dennoch zunächst die Frage der Nachsteuer und danach diejenige der Steuerbusse zu prüfen.</w:t>
      </w:r>
    </w:p>
    <w:p>
      <w:r>
        <w:rPr>
          <w:b/>
        </w:rPr>
        <w:t>E. 3.2</w:t>
      </w:r>
    </w:p>
    <w:p>
      <w:r>
        <w:t>Nicht mehr strittig ist, ob die angefochtenen Urteile auch insoweit dem Bundesrecht entsprechen, als der Beschwerdegegner die Hinterlassenenrenten seiner Ehefrau und deren Kinder nicht deklariert hatte. Da die beschwerdeführende Behörde ihren Antrag ausdrücklich auf den Gesichtspunkt des Liquidationsüberschusses beschränkt und sich nicht auf die unterbliebene Deklaration der Witwen- und Waisenrenten beruft, bildet dies vor Bundesgericht nicht mehr Streitgegenstand.</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w:t>
      </w:r>
    </w:p>
    <w:p>
      <w:r>
        <w:t>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 Art. 151 Abs. 2 DBG ).</w:t>
      </w:r>
    </w:p>
    <w:p>
      <w:r>
        <w:rPr>
          <w:b/>
        </w:rPr>
        <w:t>E. 4.2</w:t>
      </w:r>
    </w:p>
    <w:p>
      <w:r>
        <w:t>Bei der Beantwortung der Frage, ob neue Tatsachen oder Beweismittel schon zur Zeit der Veranlagung vorlagen, ist der Aktenstand in diesem Zeitpunkt massgeblich (Urteil des Bundesgerichts 2A.187/2000 vom 3. November 2000). Ein Verschulden des Steuerpflichtigen ist nicht erforderlich (vgl. etwa Agner/ Jung/Steinmann, Kommentar zum Bundesgesetz über die direkte Bundessteuer, Zürich 1995, S. 439; Blumenstein/Locher, System des schweizerischen Steuerrechts, 6. Aufl., Zürich 2002, S. 345). Im Übrigen kommt es entscheidend auf die Würdigung der jeweiligen Pflichten des Steuerpflichtigen und der Steuerbehörde bei der Veranlagung an. Dabei stehen die Prinzipien der objektiven Gesetzmässigkeit und der Rechtsgleichheit in einem Spannungsfeld zum Grundsatz der Rechtssicherheit und zum Vertrauensprinzip. Dieses Spannungsfeld soll nach der Regel von Art. 151 DBG aufgelöst werden, wobei das Gesetz allerdings auslegungsbedürftig ist.</w:t>
      </w:r>
    </w:p>
    <w:p>
      <w:r>
        <w:rPr>
          <w:b/>
        </w:rPr>
        <w:t>E. 4.2.1</w:t>
      </w:r>
    </w:p>
    <w:p>
      <w:r>
        <w:t>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unter anderem Verzeichnisse über sämtliche Wertschriften, Forderungen und Schulden ( Art. 125 Abs. 1 lit. c DBG ). Der Steuerpflichtige trägt dabei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w:t>
      </w:r>
    </w:p>
    <w:p>
      <w:r>
        <w:rPr>
          <w:b/>
        </w:rPr>
        <w:t>E. 4.2.2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(Urteil des Bundesgerichts 2A.187/2000 vom 3. November 2000) oder im Steuerdossier nach ergänzenden Unterlagen zu suchen. Die Steuerbehörde darf freilich auch nicht unbesehen in der Art auf die Steuererklärung abstellen, wie wenn es sich um eine Selbstveranlagung handeln würde. Die Steuerbehörde muss insbesondere berücksichtigen, dass in die Steuerdeklarationsformulare nicht nur Tatsachen einzutragen sind, sondern sich dabei auch eigentliche Rechtsfragen stellen (vgl. dazu Blumenstein/Locher, a.a.O., S. 345; Klaus A. Vallender, a.a.O., N 7 ff. zu Art. 151; Ders., in: Zweifel/Athanas [Hrsg.], Kommentar zum schweizerischen Steuerrecht, Bd. I/1, Bundesgesetz über die Harmonisierung der direkten Steuern der Kantone und Gemeinden [StHG], 2. Aufl., Basel/Genf/München 2002, N 8 zu Art. 53).</w:t>
      </w:r>
    </w:p>
    <w:p>
      <w:r>
        <w:rPr>
          <w:b/>
        </w:rPr>
        <w:t>E. 4.2.3</w:t>
      </w:r>
    </w:p>
    <w:p>
      <w:r>
        <w:t>Nicht gefestigt ist, was gilt, wenn die Veranlagungsbehörde einen nicht eindeutigen oder unvollständigen Sachverhalt ungeklärt liess und die auf derart unsicherer Grundlage getroffenen Annahmen sich nachträglich als unzutreffend herausstellen (vgl. Vallender, a.a.O., N 9 zu Art. 151). Eine Pflicht zu ergänzender Untersuchung besteht für die Steuerbehörden aber auch diesfalls nur dann, wenn die Steuererklärung Fehler enthält, die klar ersichtlich bzw. offensichtlich sind. Bloss erkennbare Mängel genügen nicht, dass davon ausgegangen werden muss, bestimmte Tatsachen oder Beweismittel seien den Behörden schon zur Zeit der Veranlagung bekannt gewesen bzw. es müsse diesen ein entsprechendes Wissen angerechnet werden.</w:t>
      </w:r>
    </w:p>
    <w:p>
      <w:r>
        <w:rPr>
          <w:b/>
        </w:rPr>
        <w:t>E. 4.3</w:t>
      </w:r>
    </w:p>
    <w:p>
      <w:r>
        <w:t>Im vorliegenden Fall ist die Veranlagung unbestrittenermassen rechtskräftig geworden. Da der Beschwerdegegner den Überschuss aus der Liquidation der A.________ AG nicht als Wertschriftenertrag bzw. als Einkommen im Bemessungsjahr 1996 ausgewiesen und die Steuerbehörde in der Folge einen solchen nicht als Einkommen veranlagt hat, steht überdies fest, dass die Veranlagung unvollständig geblieben ist. Zu prüfen bleibt freilich, ob der fragliche Liquidationsüberschuss der Steuerbehörde im Sinne von Art. 151 Abs. 1 DBG bekannt war oder ihr allenfalls erkennbar gewesen wäre.</w:t>
      </w:r>
    </w:p>
    <w:p>
      <w:r>
        <w:rPr>
          <w:b/>
        </w:rPr>
        <w:t>E. 4.3.1</w:t>
      </w:r>
    </w:p>
    <w:p>
      <w:r>
        <w:t>In der Steuererklärung hatte der Beschwerdegegner seinen Beteiligungsüberschuss aus der Liquidation der A.________ AG bzw. den Umstand, dass die Liquidation inzwischen abgeschlossen war, überhaupt nicht angeführt. In der Wegleitung zur Steuererklärung 1997/98 für die direkte Bundessteuer wird in Ziff. 3 unter anderem ausgeführt:</w:t>
      </w:r>
    </w:p>
    <w:p>
      <w:r>
        <w:t>"Als Zinsen und Gewinnanteile gelten auch die in Form von Gratisaktien, Gratisobligationen, Gratisliberierungen, Liquidationsüberschüssen oder in irgendeiner anderen Form enthaltenen geldwerten Leistungen aus Guthaben und Beteiligungen, die rechtlich keine Rückzahlung eines der steuerpflichtigen Person zustehenden Kapitalguthabens oder Kapitalanteils darstellen."</w:t>
      </w:r>
    </w:p>
    <w:p>
      <w:r>
        <w:t>Zwar ist dem Beschwerdegegner teilweise zugute zu halten, dass es nicht offensichtlich ist, von welchem massgeblichen Zeitpunkt bei einem Liquidationsanteil, wie er im vorliegenden Fall zur Diskussion steht, steuerrechtlich auszugehen ist. Aufgrund der allfälligen Unsicherheit hätte er aber an die Steuerbehörden gelangen können und müssen und nicht einfach auf eine Deklaration des Liquidationsüberschusses als Einkommen verzichten dürfen. Der Beschwerdegegner hat somit seine gesetzlichen Pflichten bei der Steuererklärung nicht erfüllt.</w:t>
      </w:r>
    </w:p>
    <w:p>
      <w:r>
        <w:rPr>
          <w:b/>
        </w:rPr>
        <w:t>E. 4.3.2</w:t>
      </w:r>
    </w:p>
    <w:p>
      <w:r>
        <w:t>Die Steuerbehörde hat das Wertschriftenverzeichnis mit dem Vermerk "Aktien A.________ AG, Em --&gt; in Liq." ergänzt. Unklar ist, ob die weitere Anmerkung "Übertrag auf Kto. ...", die sich jedenfalls auf zwei zusätzliche Ergänzungen des Wertschriftenverzeichnisses bezieht, auch für den Vermerk über die Beteiligung an der A.________ AG gilt. Dem zuständigen Steueramt war somit sowohl die Beteiligung des Beschwerdegegners an der A.________ AG als auch der Umstand, dass sich diese in Liquidation befand, bekannt. Woher das Steueramt davon wusste, ist nicht erstellt, aber auch nicht entscheidend. Denn die Veranlagungsbehörde konnte nicht wissen, dass die Liquidation vollendet und der daraus hervorgegangene Erlös dem Beschwerdegegner zugeflossen war. Der Beschwerdegegner hatte sie auch in keiner Art darauf aufmerksam gemacht. Damit erweist sich der Tatbestand von Art. 151 Abs. 2 DBG , wonach eine Nachbesteuerung ausgeschlossen ist, wenn der Steuerpflichtige richtig deklariert und die Steuerbehörde die Bewertung anerkannt hat, als nicht erfüllt.</w:t>
      </w:r>
    </w:p>
    <w:p>
      <w:r>
        <w:rPr>
          <w:b/>
        </w:rPr>
        <w:t>E. 4.3.3</w:t>
      </w:r>
    </w:p>
    <w:p>
      <w:r>
        <w:t>Darüber hinaus war die Veranlagungsbehörde auch nicht verpflichtet, im Dossier ergänzend nachzuprüfen, ob ein Meldeformular oder sonstige aufschlussreiche Unterlagen vorhanden waren. Hätte die Steuerbehörde allerdings das Dossier des Beschwerdegegners konsultiert, wäre sie auf die Meldung der Eidgenössischen Steuerverwaltung vom 4. März 1997 gestossen, welche beim zuständigen Steueramt unbestrittenermassen am 4. April 1997 und damit vor Abschluss des Veranlagungsverfahrens am 22. Januar 1998 eingegangen ist. Der Beschwerdegegner hat im vorliegenden Fall ein solches Gesuch für einen Liquidationsüberschuss im Betrag von Fr. 188'747.-- gestellt, und diesem Gesuch ist von der Eidgenössischen Steuerverwaltung stattgegeben worden. Darüber erhielt das für die Veranlagung der Einkommenssteuer zuständige Steueramt an sich rechtzeitig Meldung. Da es jedoch aufgrund des Fehlens jeglichen Hinweises auf den Liquidationserlös in der Steuererklärung zu keinen entsprechenden Nachforschungen verpflichtet war, darf dem Steueramt das mögliche Wissen um das Meldeformular nicht entgegengehalten werden.</w:t>
      </w:r>
    </w:p>
    <w:p>
      <w:r>
        <w:rPr>
          <w:b/>
        </w:rPr>
        <w:t>E. 4.4</w:t>
      </w:r>
    </w:p>
    <w:p>
      <w:r>
        <w:t>Demnach handelt es sich beim fraglichen Liquidationserlös des Beschwerdegegners nicht um eine der Steuerbehörde bekannte Tatsache bzw. um eine solche, deren Kenntnis sich das Steueramt anrechnen lassen muss. Der Beschwerdegegner durfte aus der unvollständigen Veranlagung folglich auch nicht ableiten, dass die Steuerbehörde den Liquidationsüberschuss als nicht steuerbar erachtete. Damit ist eine Nachsteuer zu erheben, und das Verwaltungsgericht hat insoweit Bundesrecht verletzt, als es von einer Nachsteuer absah.</w:t>
      </w:r>
    </w:p>
    <w:p>
      <w:r>
        <w:rPr>
          <w:b/>
        </w:rPr>
        <w:t>E. 5.1</w:t>
      </w:r>
    </w:p>
    <w:p>
      <w:r>
        <w:t>Nach Art. 175 Abs. 1 DBG wird unter anderem mit Busse bestraft, wer als Steuerpflichtiger vorsätzlich oder fahrlässig bewirkt, dass eine Veranlagung zu Unrecht unterbleibt oder dass eine rechtskräftige Veranlagung unvollständig ist.</w:t>
      </w:r>
    </w:p>
    <w:p>
      <w:r>
        <w:rPr>
          <w:b/>
        </w:rPr>
        <w:t>E. 5.2</w:t>
      </w:r>
    </w:p>
    <w:p>
      <w:r>
        <w:t>Der objektive Tatbestand der vollendeten Steuerhinterziehung setzt voraus, dass aufgrund des Verhaltens des Steuerpflichtigen eine Veranlagung überhaupt unterbleibt oder eine rechtskräftige Veranlagung sich als unvollständig erweist (vgl. dazu Agner/Jung/Steinmann, Kommentar zum Gesetz über die direkte Bundessteuer, Zürich 1995, Art. 175, N 1 ff., S. 474 ff.; Agner/Digeronimo/ Neuhaus/Steinmann, Kommentar zum Gesetz über die direkte Bundessteuer, Ergänzungsband, Zürich 2000, Art. 175, N 2 ff., S. 333 ff.; Blumenstein/Locher, a.a.O., S. 363 f.; Höhn/Waldburger, Steuerrecht, Bd. I, 9. Aufl., Bern/Stuttgart/ Wien 2001, S. 1009 ff., § 38, N 9 ff.; Roman Sieber, in: Zweifel/Athanas [Hrsg.], Kommentar zum schweizerischen Steuerrecht, Bd. I/1, Bundesgesetz über die Harmonisierung der direkten Steuern der Kantone und Gemeinden [StHG], 2. Aufl., Basel/Genf/München 2002, N 6 ff. zu Art. 56).</w:t>
      </w:r>
    </w:p>
    <w:p>
      <w:r>
        <w:rPr>
          <w:b/>
        </w:rPr>
        <w:t>E. 5.3</w:t>
      </w:r>
    </w:p>
    <w:p>
      <w:r>
        <w:t>Der subjektive Tatbestand der vollendeten Steuerhinterziehung setzt Vorsatz oder Fahrlässigkeit voraus (Agner/Jung/Steinmann, a.a.O., Art. 175, N 2 f., S. 475; Agner/Digeronimo/Neuhaus/Steinmann, a.a.O., Art. 175, N 2.3 , S. 336; Höhn/Waldburger, a.a.O., S. 1014, § 38, N 19 ; Sieber, a.a.O., N 18 zu Art. 56).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mit Hinweisen; Urteil 2A.187/2000 vom 3. November 2000, E. 3c/bb).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18 Abs. 3 StGB ).</w:t>
      </w:r>
    </w:p>
    <w:p>
      <w:r>
        <w:rPr>
          <w:b/>
        </w:rPr>
        <w:t>E. 5.4</w:t>
      </w:r>
    </w:p>
    <w:p>
      <w:r>
        <w:t>In objektiver Hinsicht erging aufgrund der unvollständigen Steuererklärung des Beschwerdegegners eine ungenügende Veranlagung, welche rechtskräftig geworden ist.</w:t>
      </w:r>
    </w:p>
    <w:p>
      <w:r>
        <w:rPr>
          <w:b/>
        </w:rPr>
        <w:t>E. 5.5</w:t>
      </w:r>
    </w:p>
    <w:p>
      <w:r>
        <w:t>In subjektiver Hinsicht ergibt sich, dass der Beschwerdegegner, von Beruf Schreiner und im fraglichen Zeitpunkt rund 44 Jahre alt, Alleinaktionär und Liquidator der aufgelösten Gesellschaft war. Als solcher kann er sich der Verantwortung für die mit der Liquidation zusammenhängenden Fragen nicht mit dem Argument angeblich ungenügender Sachkenntnis entziehen. Der Beschwerdegegner hat zwar für die Erarbeitung der Steuererklärung - auch wenn er diese danach selber unterzeichnet und eingereicht hat - einen Treuhänder beigezogen. Dennoch war seine Beteiligung an der A.________ AG und der Umstand, dass sich diese in Liquidation befand, in der Steuererklärung nicht aufgeführt. Für diese Unterlassung gibt es keine nachvollziehbaren Gründe oder Erklärungen. Zwar scheint, dass er weitgehend seinem Treuhänder vertraut hat. Nach der Rechtsprechung hat sich der Steuerpflichtige aber das schuldhafte Verhalten seines Vertreters anrechnen zu lassen, wenn dieser im Veranlagungsverfahren unrichtige Angaben gemacht und damit eine Steuerverkürzung bewirkt hat und wenn der Steuerpflichtige in der Lage gewesen wäre, die Fehler zu erkennen (ASA 36 S. 374 E. 3). Insbesondere nimmt der Steuerpflichtige den Versuch einer Steuerverkürzung in Kauf, wenn er die Erstellung der Steuererklärung ohne klare Instruktionen und ohne jegliche Kontrolle einem Treuhänder überträgt und sich nicht darum kümmert, ob die in der Steuererklärung enthaltenen Angaben richtig und vollständig sind (vgl. Urteil des Bundesgerichts 2A.228/2001 vom 13. November 2001 in StE 2002 B 101.21 Nr. 15). Der Beschwerdegegner hätte somit die Arbeit seines Treuhänders kontrollieren und allenfalls korrigieren müssen. Er kann daher aus dem Verhalten des Treuhänders nichts zu seinen Gunsten ableiten.</w:t>
      </w:r>
    </w:p>
    <w:p>
      <w:r>
        <w:t>Hinzu kommt, dass auf Seiten des Beschwerdegegners keine Schwierigkeiten bestanden, das Meldeverfahren bei der Verrechnungssteuer einzuleiten bzw. einleiten zu lassen, obwohl sich für die entsprechende steuerliche Behandlung des Liquidationsüberschusses zumindest vergleichbare Fragen stellten wie bei der Veranlagung für die direkte Bundessteuer; gleichzeitig ergab sich dadurch freilich auch ein gewisses Risiko, dass nicht nur die Eidgenössische Steuerverwaltung, sondern vermutlich auch die kantonale und kommunale Steuerbehörde davon Kenntnis erhalten würden. Mit der Genehmigung des Meldeverfahrens wurden indessen auch allfällige Unklarheiten über den Liquidationserlös beseitigt. Trotzdem hat der Beschwerdegegner diesen Überschuss, der immerhin mehr als das Dreifache des deklarierten Einkommens betrug, in der Steuererklärung nicht angegeben. Er hat sich damit zumindest eine Sorgfaltspflichtverletzung zuschulden kommen lassen, womit sein Verschulden erstellt ist.</w:t>
      </w:r>
    </w:p>
    <w:p>
      <w:r>
        <w:rPr>
          <w:b/>
        </w:rPr>
        <w:t>E. 5.6</w:t>
      </w:r>
    </w:p>
    <w:p>
      <w:r>
        <w:t>Der Beschwerdegegner hat sich demnach der vollendeten Steuerhinterziehung schuldig gemacht, weshalb das Verwaltungsgericht auch insoweit Bundesrecht verletzt hat.</w:t>
      </w:r>
    </w:p>
    <w:p>
      <w:r>
        <w:rPr>
          <w:b/>
        </w:rPr>
        <w:t>E. 6.1</w:t>
      </w:r>
    </w:p>
    <w:p>
      <w:r>
        <w:t>Damit sind beide Verwaltungsgerichtsbeschwerden gutzuheissen, und die angefochtenen Entscheide müssen aufgehoben werden, soweit sie den Liquidationserlös betreffen. Hinsichtlich der Nachsteuer kann der Einspracheentscheid der Steuerkommission für übrige natürliche Personen vom 25. Oktober 1999 bestätigt werden, soweit er sich auf den Liquidationsüberschuss bezieht. Hingegen ist die Angelegenheit an das Verwaltungsgericht des Kantons Nidwalden zurückzuweisen zur Neufestsetzung der Hinterziehungsbusse - da insofern aus dem Einspracheentscheid nicht deutlich hervorgeht, wieweit er sich auf den Liquidationserlös und nicht auch auf die Hinterlassenenrenten bezieht - sowie zur allfälligen Neuverlegung der Kosten und Entschädigungen des kantonalen Verfahrens (vgl. Art. 114 Abs. 2 OG ).</w:t>
      </w:r>
    </w:p>
    <w:p>
      <w:r>
        <w:rPr>
          <w:b/>
        </w:rPr>
        <w:t>E. 6.2</w:t>
      </w:r>
    </w:p>
    <w:p>
      <w:r>
        <w:t>Bei diesem Verfahrensausgang sind die bundesgerichtlichen Kosten dem unterliegenden Beschwerdegegner aufzuerlegen (Art. 156 Abs. 1, Art. 153 und 153a OG ). Eine Parteientschädigung ist nicht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