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2A.604/2003 vom 17. Juni 2004</w:t>
      </w:r>
    </w:p>
    <w:p>
      <w:r>
        <w:t>Bundesgericht, 2004-06-17, DE</w:t>
      </w:r>
    </w:p>
    <w:p>
      <w:r>
        <w:rPr>
          <w:b/>
        </w:rPr>
        <w:t xml:space="preserve">Quelle: </w:t>
      </w:r>
      <w:r>
        <w:t>https://mcp.opencaselaw.ch/entscheid/bger_2A.604_2003</w:t>
      </w:r>
    </w:p>
    <w:p>
      <w:r>
        <w:t>FR: TF 2A.604/2003 du 17 juin 2004</w:t>
      </w:r>
    </w:p>
    <w:p>
      <w:r>
        <w:t>IT: TF 2A.604/2003 del 17 giugno 2004</w:t>
      </w:r>
    </w:p>
    <w:p>
      <w:pPr>
        <w:pStyle w:val="Heading2"/>
      </w:pPr>
      <w:r>
        <w:t>Regeste</w:t>
      </w:r>
    </w:p>
    <w:p>
      <w:r>
        <w:t>Öffentliche Finanzen &amp; Abgaberecht</w:t>
      </w:r>
    </w:p>
    <w:p>
      <w:pPr>
        <w:pStyle w:val="Heading2"/>
      </w:pPr>
      <w:r>
        <w:t>Erwägungen</w:t>
      </w:r>
    </w:p>
    <w:p>
      <w:r>
        <w:rPr>
          <w:b/>
        </w:rPr>
        <w:t>E. 1.1</w:t>
      </w:r>
    </w:p>
    <w:p>
      <w:r>
        <w:t>Gegen den Entscheid der kantonalen Steuerrekurskommission ist die Verwaltungsgerichtsbeschwerde zulässig (Art. 146 des Gesetzes über die direkte Bundessteuer vom 14. Dezember 1990 [DBG; SR 642.11]). Die kantonale Steuerverwaltung ist für die direkte Bundessteuer zur Beschwerde legitimiert (Art. 146 zweiter Satz DBG in Verbindung mit Art. 103 lit. c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2.1</w:t>
      </w:r>
    </w:p>
    <w:p>
      <w:r>
        <w:t>Es ist unbestritten, dass die Beschwerdegegner in den Steuerperioden 1995/96, 1997/98, 1999 und 2000 für das in ihrem Haushalt lebende, minderjährige Kind Y.________ Unterhaltsbeiträge in der Höhe von Fr. 6'000.-- (1993), Fr. 6'000.-- (1994), Fr. 9'270.-- (1995), Fr. 11'040.-- (1996), Fr. 8'940.-- (1999) und Fr. 8'520.-- (2000) erhalten hatten. Diese Unterhaltsbeiträge haben die Beschwerdegegner in den entsprechenden Steuererklärungen nicht deklariert, und die Veranlagungen für die fraglichen Steuerperioden erwuchsen ohne Berücksichtigung dieser Einkünfte in Rechtskraft.</w:t>
      </w:r>
    </w:p>
    <w:p>
      <w:r>
        <w:rPr>
          <w:b/>
        </w:rPr>
        <w:t>E. 2.2</w:t>
      </w:r>
    </w:p>
    <w:p>
      <w:r>
        <w:t>Die Steuerrekurskommission begründete ihren Entscheid im Wesentlichen damit, dass sich die Frage stelle, ob der Steuerverwaltung nicht hätte bekannt sein müssen, dass die Ehefrau X.________ für ihre Tochter Unterhaltszahlungen erhalte, denn auf der Steuererklärung 1993/94 sei neben dem Namen der Tochter Y.________ ein - höchstwahrscheinlich vom zuständigen Veranlagungsbeamten stammender - handschriftlicher Vermerk "500.-/Mt." angebracht gewesen. Aufgrund der Selbstdeklaration in den Steuererklärungen 1995 bis 2000 habe die Veranlagungsbehörde zudem gewusst, dass die Tochter im Hause der Steuerpflichtigen lebte, die ihren Unterhalt bestritten. Damit stehe fest, dass für die Veranlagungsbehörde zumindest erkennbar gewesen sei, dass in den betroffenen Perioden im Haushalt der Beschwerdeführer ein minderjähriges Kind lebte, für welches zumindest in den Jahren 1991 und 1992 (damals steuerlich für die Ehegatten nicht relevante) Unterhaltszahlungen geleistet worden seien. Hinzu komme, dass erstmals ab der Steuerperiode 1995/96 für die direkten Bundessteuern die Kinderunterhaltsbeiträge hätten versteuert werden müssen. Dieser besondere Umstand hätte die Veranlagungsbehörde veranlassen müssen, genauer abzuklären, ob die Ehegatten Unterhaltsbeiträge bezogen. Weil Tatsachen und Beweismittel als bekannt gälten, sobald die Veranlagungsbehörde den Sachverhalt aufgrund verhältnismässig konkreter Anhaltspunkte im Veranlagungsverfahren hätte abklären können, lägen keine neuen Tatsachen vor, welche die Einleitung eines Nachsteuerverfahrens rechtfertigten. Die kantonale Steuerverwaltung geht demgegenüber davon aus, dass die Neuheit von Tatsachen auch dann zu bejahen sei, wenn die Steuerbehörde die fraglichen Sachkenntnisse bei besserer Untersuchung schon im früheren Verfahren hätte erlangen können; die Veranlagungsbehörde könne und müsse bereits aus administrativen Gründen angesichts der grossen Zahl von Steuererklärungen den Sachverhalt nicht nach allen Richtungen ausleuchten.</w:t>
      </w:r>
    </w:p>
    <w:p>
      <w:r>
        <w:rPr>
          <w:b/>
        </w:rPr>
        <w:t>E. 3.1</w:t>
      </w:r>
    </w:p>
    <w:p>
      <w:r>
        <w:t>Ergibt sich aufgrund von Tatsachen und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 Art. 151 Abs. 2 DBG ).</w:t>
      </w:r>
    </w:p>
    <w:p>
      <w:r>
        <w:rPr>
          <w:b/>
        </w:rPr>
        <w:t>E. 3.2</w:t>
      </w:r>
    </w:p>
    <w:p>
      <w:r>
        <w:t>Im vorliegenden Fall sind die einzelnen Veranlagungen unbestrittenermassen rechtskräftig geworden. Da das Ehepaar die für die Tochter erhaltenen Unterhaltszahlungen nicht deklariert und die Steuerbehörde diese in der Folge nicht als Einkommen veranlagt hat, steht somit fest, dass die Veranlagung unvollständig geblieben ist. Zu prüfen bleibt, ob die fraglichen Alimentenzahlungen der Steuerbehörde im Sinne von Art. 151 Abs. 1 DBG bekannt waren bzw. ihr allenfalls erkennbar gewesen wären.</w:t>
      </w:r>
    </w:p>
    <w:p>
      <w:r>
        <w:rPr>
          <w:b/>
        </w:rPr>
        <w:t>E. 3.3</w:t>
      </w:r>
    </w:p>
    <w:p>
      <w:r>
        <w:t>Bei der Beantwortung der Frage, ob neue Tatsachen oder Beweismittel schon zur Zeit der Veranlagung vorlagen, ist der damalige Stand der Akten massgeblich (Urteil des Bundesgerichts 2A.182/2002 vom 25. April 2003, E. 3.3, publ. in: StE 2003 B 97.41 Nr. 15, mit Hinweis). Ein Verschulden des Steuerpflichtigen ist nicht erforderlich (vgl. etwa Agner/Jung/Steinmann, Kommentar zum Bundesgesetz über die direkte Bundessteuer, Zürich 1995, S. 439; Blumenstein/Locher, System des schweizerischen Steuerrechts, 6. Aufl., Zürich 2002, S. 345). Im Übrigen kommt es entscheidend auf die Würdigung der jeweiligen Pflichten des Steuerpflichtigen und der Steuerbehörde bei der Veranlagung an. Dabei stehen die Prinzipien der objektiven Gesetzmässigkeit und der Rechtsgleichheit in einem Spannungsfeld zum Grundsatz der Rechtssicherheit und zum Vertrauensprinzip. Dieses Spannungsfeld soll nach der Regel von Art. 151 DBG aufgelöst werden, wobei das Gesetz allerdings auslegungsbedürftig ist.</w:t>
      </w:r>
    </w:p>
    <w:p>
      <w:r>
        <w:rPr>
          <w:b/>
        </w:rPr>
        <w:t>E. 3.3.1</w:t>
      </w:r>
    </w:p>
    <w:p>
      <w:r>
        <w:t>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gemeinsam auf eine richtige und vollständige Veranlagung hinarbeiten. Der Steuerpflichtige muss alles tun, um eine vollständige und richtige Veranlagung zu ermöglichen ( Art. 126 Abs. 1 DBG ). Insbesondere muss er das Formular für die Steuererklärung wahrheitsgemäss und vollständig ausfüllen ( Art. 124 Abs. 2 DBG ). Der Steuerpflichtige trägt dabei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 2A.182/2002 vom 25. April 2003, a.a.O., E. 3.3.1).</w:t>
      </w:r>
    </w:p>
    <w:p>
      <w:r>
        <w:rPr>
          <w:b/>
        </w:rPr>
        <w:t>E. 3.3.2</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(Urteil des Bundesgerichts 2A.182/2002 vom 25. April 2003, a.a.O., E. 3.3.2., mit Hinweis). Die Steuerbehörde darf freilich auch nicht unbesehen in der Art auf die Steuererklärung abstellen, wie wenn es sich um eine Selbstveranlagung handeln würde. Sie muss insbesondere berücksichtigen, dass in die Steuerdeklarationsformulare nicht nur Tatsachen einzutragen sind, sondern sich dabei auch eigentliche Rechtsfragen stellen (vgl. dazu Blumenstein/Locher, a.a.O., S. 345; Klaus A. Vallender, in: Zweifel/Athanas [Hrsg.], Kommentar zum schweizerischen Steuerrecht, Bd. I/2b, Bundesgesetz über die direkte Bundessteuer [DBG], Art. 83-222, Basel/Genf/München 2000, N 7 ff. zu Art. 151; Ders., in: Zweifel/Athanas [Hrsg.], Kommentar zum schweizerischen Steuerrecht, Bd. I/1, Bundesgesetz über die Harmonisierung der direkten Steuern der Kantone und Gemeinden [StHG], 2. Aufl., Basel/Genf/München 2002, N 8 zu Art. 53).</w:t>
      </w:r>
    </w:p>
    <w:p>
      <w:r>
        <w:rPr>
          <w:b/>
        </w:rPr>
        <w:t>E. 3.3.3</w:t>
      </w:r>
    </w:p>
    <w:p>
      <w:r>
        <w:t>Nicht gefestigt ist, was gilt, wenn die Veranlagungsbehörde einen nicht eindeutigen oder unvollständigen Sachverhalt ungeklärt liess und die auf derart unsicherer Grundlage getroffenen Annahmen sich nachträglich als unzutreffend herausstellen (vgl. Vallender, a.a.O., N 9 zu Art. 151). Eine Pflicht zu ergänzender Untersuchung besteht für die Steuerbehörden aber auch diesfalls nur dann, wenn die Steuererklärung Fehler enthält, die klar ersichtlich bzw. offensichtlich sind. Hingegen rechtfertigt das Vorliegen bloss erkennbarer Mängel noch nicht, bestimmte Tatsachen oder Beweismittel als zur Zeit der Veranlagung bereits bekannt zu qualifizieren und den Behörden in der Folge das entsprechende Wissen anzurechnen (vgl. Urteil des Bundesgerichts 2A.182/2002 vom 25. April 2003, a.a.O., E. 3.3.3).</w:t>
      </w:r>
    </w:p>
    <w:p>
      <w:r>
        <w:rPr>
          <w:b/>
        </w:rPr>
        <w:t>E. 4</w:t>
      </w:r>
    </w:p>
    <w:p>
      <w:r>
        <w:t>Auf der Steuererklärung 1993/94 ist neben dem Namen der Tochter Y.________ ein - höchstwahrscheinlich vom zuständigen Verwaltungsbeamten stammender - handschriftlicher Vermerk "500.--/Mt." angebracht. Die Veranlagungsbehörden wussten ferner aufgrund der Selbstdeklarationen in den Steuererklärungen 1995 bis 2000, dass die Tochter im Haushalt der Steuerpflichtigen lebte, die für ihren Unterhalt sorgten. Dies bedeutet aber entgegen der Annahme der Steuerrekurskommission nicht, dass die Steuerbehörden daraus hätten schliessen müssen, dass weiterhin Unterhaltsbeiträge für die Tochter flossen, zumal es aus verschiedenen Gründen möglich sein kann, dass ein Unterhaltsbeitrag nach einiger Zeit nicht mehr bezahlt wird. Der unterhaltspflichtige Kindsvater kann zum Beispiel ins Ausland verreist sein, oder es kann sich nach einer Vaterschaftsanalyse herausstellen, dass gar nicht er der biologische Vater ist. Deklarieren daher die Steuerpflichtigen keine Unterhaltsbeiträge, obwohl in den entsprechenden Formularen nach solchen gefragt wird, so ist die Steuerbehörde nicht verpflichtet, weitere Abklärungen zu treffen. Dass die Unterhaltsbeiträge früher nicht vom Empfänger zu versteuern waren und sich die Rechtslage inzwischen gewandelt hat, ändert daran nichts: Wird in einem Steuerformular - wie hier ab dem Formular für 1995/96 in jedem Formular - ausdrücklich nach Unterhaltsbeiträgen für Kinder gefragt, so sind die Steuerpflichtigen gehalten, die entsprechende Rubrik auszufüllen, auch wenn sie fälschlicherweise davon ausgehen, dass diese Beträge wie früher nicht zu versteuern sind.</w:t>
      </w:r>
    </w:p>
    <w:p>
      <w:r>
        <w:rPr>
          <w:b/>
        </w:rPr>
        <w:t>E. 5.1</w:t>
      </w:r>
    </w:p>
    <w:p>
      <w:r>
        <w:t>Nach dem Gesagten war die Steuerbehörde nicht gehalten, zur Frage, ob weiterhin Unterhaltsbeiträge für Y.________ fliessen, nähere Abklärungen zu treffen; die Tatsache, dass Unterhaltsbeiträge regelmässig geflossen sind, gilt demnach als neu, und die Steuerbehörde hat das Recht auf die Einleitung eines Nachsteuerverfahrens nicht verwirkt.</w:t>
      </w:r>
    </w:p>
    <w:p>
      <w:r>
        <w:rPr>
          <w:b/>
        </w:rPr>
        <w:t>E. 5.2</w:t>
      </w:r>
    </w:p>
    <w:p>
      <w:r>
        <w:t>Die Beschwerde ist daher gutzuheissen und der angefochtene Entscheid aufzuheben. Die Höhe der Nachsteuer ist an sich nicht streitig. Indessen ist unklar, ob den Beschwerdegegnern in den streitigen Perioden jeweils der Kinderabzug gemäss Art. 35 Abs. 1 lit. a DBG gewährt worden ist. Es rechtfertigt sich daher, die Sache zu neuer Entscheidung im Sinne der Erwägungen an die kantonale Steuerverwaltung zurückzuweisen.</w:t>
      </w:r>
    </w:p>
    <w:p>
      <w:r>
        <w:rPr>
          <w:b/>
        </w:rPr>
        <w:t>E. 6</w:t>
      </w:r>
    </w:p>
    <w:p>
      <w:r>
        <w:t>Bei diesem Ausgang des Verfahrens sind die Gerichtskosten den Beschwerdegegnern unter solidarischer Haftbarkeit aufzuerlegen ( Art. 156 Abs. 1 und 7 OG ). Die Steuerverwaltung des Kantons Thurgau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