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2A.603/2003 vom 10. Mai 2004</w:t>
      </w:r>
    </w:p>
    <w:p>
      <w:r>
        <w:t>Bundesgericht, 2004-05-10, DE</w:t>
      </w:r>
    </w:p>
    <w:p>
      <w:r>
        <w:rPr>
          <w:b/>
        </w:rPr>
        <w:t xml:space="preserve">Quelle: </w:t>
      </w:r>
      <w:r>
        <w:t>https://mcp.opencaselaw.ch/entscheid/bger_2A.603_2003</w:t>
      </w:r>
    </w:p>
    <w:p>
      <w:r>
        <w:t>FR: TF 2A.603/2003 du 10 mai 2004</w:t>
      </w:r>
    </w:p>
    <w:p>
      <w:r>
        <w:t>IT: TF 2A.603/2003 del 10 maggio 2004</w:t>
      </w:r>
    </w:p>
    <w:p>
      <w:pPr>
        <w:pStyle w:val="Heading2"/>
      </w:pPr>
      <w:r>
        <w:t>Regeste</w:t>
      </w:r>
    </w:p>
    <w:p>
      <w:r>
        <w:t>Öffentliche Finanzen &amp; Abgaberecht</w:t>
      </w:r>
    </w:p>
    <w:p>
      <w:pPr>
        <w:pStyle w:val="Heading2"/>
      </w:pPr>
      <w:r>
        <w:t>Erwägungen</w:t>
      </w:r>
    </w:p>
    <w:p>
      <w:r>
        <w:rPr>
          <w:b/>
        </w:rPr>
        <w:t>E. 1.1</w:t>
      </w:r>
    </w:p>
    <w:p>
      <w:r>
        <w:t>Der angefochtene Entscheid der Eidgenössischen Zollrekurskommission stützt sich auf öffentliches Recht des Bundes und unterliegt, da die Voraussetzungen von Art. 97 ff. OG erfüllt sind und insbesondere keine Ausnahme nach Art. 100 Abs. 1 lit. h OG gegeben ist, der Verwaltungsgerichtsbeschwerde.</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verwaltungsgerichtlichen Beschwerdeverfahren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2.1</w:t>
      </w:r>
    </w:p>
    <w:p>
      <w:r>
        <w:t>Der Beschwerdeführer rügt die Verletzung strafrechtlicher Verfahrensvorschriften und seiner Rechte als Beschuldigter. Zudem seien im Falle des Beschuldigten Y.________ ebenfalls wesentliche Verfahrensvorschriften verletzt worden.</w:t>
      </w:r>
    </w:p>
    <w:p>
      <w:r>
        <w:rPr>
          <w:b/>
        </w:rPr>
        <w:t>E. 2.2</w:t>
      </w:r>
    </w:p>
    <w:p>
      <w:r>
        <w:t>Auch wenn die Bestimmung von Art. 12 VStrR betreffend die Nach- bzw. Rückleistungspflicht auf Grund einer Widerhandlung wegen ihres engen Zusammenhangs mit dem Strafrecht (ebenfalls) in das Verwaltungsstrafrecht aufgenommen wurde (BBl 1971 I 1007), unterscheidet dieses doch klar zwischen dem Administrativverfahren zur Festsetzung des gemäss Art. 12 Abs. 1 und 2 VStrR nachzuentrichtenden Abgabebetrages einerseits ( BGE 114 Ib 94 E. 5c S. 99) und dem Strafverfahren andererseits ( Art. 63 VStrR ; BGE 115 Ib 216 E. 3a). Das Verwaltungsstrafrecht ist allein für die hier nicht in Frage stehende Strafverfolgung anwendbar ( Art. 87 ZG ). Für die Festsetzung des nachzuentrichtenden Zoll- bzw. Steuerbetrages ist hingegen das Bundesgesetz vom 20. Dezember 1968 über das Verwaltungsverfahren (VwVG) massgebend (Art. 51 und Art. 65 der Verordnung vom 22. Juni 1994 über die Mehrwertsteuer [MWSTV] bzw. Art. 63 und Art. 72 des Bundesgesetzes vom 2. September 1999 über die Mehrwertsteuer [Mehrwertsteuergesetz, MWSTG; SR 641.20]), da es hier nicht um das Verfahren der Zollabfertigung geht (vgl. Art. 3 lit. e VwVG ). Auch das die Zollzahlungspflicht betreffende Beschwerdeverfahren richtet sich daher nach den Bestimmungen des Verwaltungsverfahrensgesetzes ( Art. 109 Abs. 3 ZG ).</w:t>
      </w:r>
    </w:p>
    <w:p>
      <w:r>
        <w:rPr>
          <w:b/>
        </w:rPr>
        <w:t>E. 2.3</w:t>
      </w:r>
    </w:p>
    <w:p>
      <w:r>
        <w:t>Der Beschwerdeführer verkennt nach wie vor diese strikte Teilung in zwei verschiedene Verfahren. Die Vorinstanz ist daher zu Recht auf seine Rügen nicht eingetreten, soweit diese die strafrechtlichen Verfahrensvorschriften bzw. Beschuldigtenrechte betrafen. Sie hat dadurch entgegen der Auffassung des Beschwerdeführers kein Bundesrecht verletzt oder willkürlich ( Art. 9 BV ) gehandelt. Es kommt hinzu, dass Untersuchungshandlungen des untersuchenden Beamten im Verwaltungsstrafverfahren ohnehin zunächst innert drei Tagen mit Beschwerde an den Direktor bzw. Chef der beteiligten Verwaltung ( Art. 27 VStrR ) bzw. an die Anklagekammer des Bundesgerichts ( Art. 28 VStrR ) hätten angefochten werden müssen, was hier nicht geschehen ist (vgl. BGE 115 Ib 216 E. 6). Dies kann nicht im vorliegenden Verwaltungsjustizverfahren nachgeholt werden. Soweit der Beschwerdeführer wiederum eine Verletzung von "wesentlichen Verfahrensvorschriften" (Hinweis auf Aussageverweigerungsrecht bzw. Recht, einen Verteidiger beiziehen zu können), namentlich von Art. 39 Abs. 2 VStrR (und Art. 79 Abs. 2 StP/SG) rügt, ist er nicht zu hören, gelten die von ihm angerufenen Bestimmungen doch nur für Strafverfahren. Inwieweit die in Verletzung solcher Verfahrensvorschriften gewonnenen Erkenntnisse bzw. protokollierten Aussagen im Strafverfahren verwertbar sind, hat im Weiteren der Sach- bzw. Strafrichter im Zusammenhang mit der Beweiswürdigung zu entscheiden (vgl. auch Art. 77 Abs. 4 VStrR ); ein absolutes Verwertungsverbot besteht ohnehin nicht (Urteil 8G.55/2000 vom 14. März 2001 E. 3c). Es bleibt darauf hinzuweisen, dass der Beschuldigte Y.________ anlässlich seiner Befragung vom 4. April 2001 entgegen der Darstellung des Beschwerdeführers (Beschwerde S. 5), wenn auch erst am Schluss derselben, auf sein Aussageverweigerungsrecht hingewiesen worden ist (Beschwerdebeilage 2). Seine späteren Aussagen vom 17. und 20. April 2001 (Beschwerdebeilagen 4 und 5), in welchen er das jeweilige Vorgehen und die an den Beschwerdeführer gelieferten Mengen bestätigte, wären daher nicht mit dem gerügten Mangel behaftet. Soweit der Beschwerdeführer sich auf Art. 31 Abs. 2 BV stützen sollte, legt er nicht dar, inwiefern diese nur für Festgenommene bzw. Verhaftete geltende Bestimmung in seinem Fall überhaupt anwendbar gewesen wäre; er behauptet nicht, dass ihm die Freiheit entzogen worden sei.</w:t>
      </w:r>
    </w:p>
    <w:p>
      <w:r>
        <w:rPr>
          <w:b/>
        </w:rPr>
        <w:t>E. 2.4</w:t>
      </w:r>
    </w:p>
    <w:p>
      <w:r>
        <w:t>Untersuchen daher die eidgenössischen Behörden ausserhalb eines Strafverfahrens, ob jemand in den Genuss unrechtmässiger Vorteile gelangt und damit nach Art. 12 Abs. 2 VStrR nachleistungspflichtig ist, so führen sie zu diesem Zweck ein Administrativverfahren (Verwaltungsverfahren) durch. Dieses richtet sich nach dem Verwaltungsverfahrensgesetz, und das Beweisverfahren folgt den entsprechenden Vorschriften (Art. 7 ff., insb. Art. 19 VwVG ). Für die Beweiserhebung sind somit nicht die im (Verwaltungs-)Strafverfahren zu beachtenden Garantien einzuhalten. Zudem können auch in anderen Verfahren gewonnene Erkenntnisse verwertet werden, wenn sie förmlich, d.h. namentlich unter Gewährung des rechtlichen Gehörs, in das Verfahren eingebracht worden sind und den Anforderungen an die Erhebung von Beweisen im Verwaltungsverfahren genügen. Ob sie auch strafrechtlich verwertbar sind, spielt dabei keine Rolle.</w:t>
      </w:r>
    </w:p>
    <w:p>
      <w:r>
        <w:rPr>
          <w:b/>
        </w:rPr>
        <w:t>E. 2.5</w:t>
      </w:r>
    </w:p>
    <w:p>
      <w:r>
        <w:t>Art. 12 Abs. 2 VStrR ist somit keine Strafbestimmung, sondern eine (normale) Abgabenorm. Ob der Gesetzgeber eine solche Norm in einen Nebenstraferlass aufnehmen durfte, und ob diese eine "ausreichende gesetzliche Grundlage" habe - was der Beschwerdeführer bestreitet (Beschwerde S. 9 Ziff. 5) -, ist vom Bundesgericht nicht zu prüfen ( Art. 191 BV ).</w:t>
      </w:r>
    </w:p>
    <w:p>
      <w:r>
        <w:rPr>
          <w:b/>
        </w:rPr>
        <w:t>E. 3.1</w:t>
      </w:r>
    </w:p>
    <w:p>
      <w:r>
        <w:t>Die Menge des von Y.________ gekauften Fleisches sowie die dafür geschuldeten Abgaben werden vom Beschwerdeführer nicht bestritten. Er wendet sich indessen dagegen, dass er für die durch seinen Lieferanten geschuldeten Abgaben gestützt auf Art. 12 Abs. 2 des Bundesgesetzes vom 22. März 1974 über das Verwaltungsstrafrecht (VStrR; SR 313.0) leistungspflichtig erklärt wurde.</w:t>
      </w:r>
    </w:p>
    <w:p>
      <w:r>
        <w:rPr>
          <w:b/>
        </w:rPr>
        <w:t>E. 3.2</w:t>
      </w:r>
    </w:p>
    <w:p>
      <w:r>
        <w:t>Gemäss Art. 12 Abs. 1 VStrR ist eine Abgabe, die infolge einer Widerhandlung gegen die Verwaltungsgesetzgebung des Bundes zu Unrecht nicht erhoben worden ist, ohne Rücksicht auf die Strafbarkeit einer bestimmten Person nachzuentrichten. Mit der nicht angemeldeten Einfuhr des Fleisches hat Y.________ den objektiven Tatbestand einer Widerhandlung im Sinne von Art. 74 ZG und Art. 77 MWSTV bzw. Art. 85 f. MWSTG erfüllt, was für die Anwendung von Art. 12 Abs. 1 VStrR genügt ( BGE 129 II 385 E. 4.4.4, S. 396). Dies wird vom Beschwerdeführer zu Recht nicht mehr in Frage gestellt.</w:t>
      </w:r>
    </w:p>
    <w:p>
      <w:r>
        <w:rPr>
          <w:b/>
        </w:rPr>
        <w:t>E. 3.3</w:t>
      </w:r>
    </w:p>
    <w:p>
      <w:r>
        <w:t>Leistungspflichtig ist, wer in den Genuss des unrechtmässigen Vorteils gelangt ist, insbesondere der zur Zahlung der Abgabe Verpflichtete ( Art. 12 Abs. 2 VStrR ), der selbst dann haftet, wenn er nichts von der falschen Deklaration wusste ( BGE 107 Ib 198 E. 6c/d).</w:t>
      </w:r>
    </w:p>
    <w:p>
      <w:r>
        <w:rPr>
          <w:b/>
        </w:rPr>
        <w:t>E. 3.3.1</w:t>
      </w:r>
    </w:p>
    <w:p>
      <w:r>
        <w:t>Zu den Nachleistungspflichtigen gehören somit zunächst die zur Zahlung der Abgabe verpflichteten Zollzahlungspflichtigen im Sinne von Art. 13 ZG , d.h. diejenigen, die die Ware über die Grenze bringen und die Auftraggeber ( Art. 9 ZG ), sowie diejenigen, für deren Rechnung die Waren eingeführt worden sind. Sie sind insofern direkt unrechtmässig bevorteilt, als sie die geschuldete Abgabe infolge der Widerhandlung nicht entrichten mussten. Diese Personen - für die die gesetzliche Vermutung eines unrechtmässigen Vermögensvorteils gilt - haften solidarisch für den gesamten nicht erhobenen Abgabebetrag. Sie bleiben deshalb selbst dann leistungspflichtig, wenn sie selber aus der Widerhandlung keinen persönlichen Nutzen gezogen haben (Kurt Hauri, Verwaltungsstrafrecht [VStrR], Bern 1998, Art. 12, Ziff. 10a).</w:t>
      </w:r>
    </w:p>
    <w:p>
      <w:r>
        <w:rPr>
          <w:b/>
        </w:rPr>
        <w:t>E. 3.3.2</w:t>
      </w:r>
    </w:p>
    <w:p>
      <w:r>
        <w:t>Der Gesetzgeber hat den Kreis der Zollzahlungspflichtigen weit gezogen, um die Einbringlichkeit der Zollforderung sicherzustellen ( BGE 110 Ib 306 E. 2b S. 310). Dementsprechend ist nach ständiger Rechtsprechung auch der Begriff des Auftraggebers weit zu fassen. Als solcher gilt nicht nur derjenige, der im zivilrechtlichen Sinne mit dem Transporteur einen Frachtvertrag abschliesst, sondern jede Person, welche die Wareneinfuhr tatsächlich veranlasst ( BGE 107 Ib 198 E. 6; Urteil 2A.233/1999 vom 2. Dezember 1999 E. 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(Urteil 2A.417/1999 vom 27. Oktober 1999 E. 3a, mit Hinweisen auf weitere nicht publizierte Urteile). Auch wenn die Ware im Zeitpunkt der Bestellung bereits in der Schweiz ist, wird durch die generelle Bereitschaft des Betreffenden, diese Ware abzunehmen, deren Einfuhr durch ihn mitveranlasst (Urteil 2A.233/1999 vom 2. Dezember 1999 E. 4b).</w:t>
      </w:r>
    </w:p>
    <w:p>
      <w:r>
        <w:rPr>
          <w:b/>
        </w:rPr>
        <w:t>E. 3.3.3</w:t>
      </w:r>
    </w:p>
    <w:p>
      <w:r>
        <w:t>Die Vorinstanz hat nicht geprüft, ob der Beschwerdeführer in Anwendung von Art. 9 bzw. Art. 13 ZG für die vorenthaltenen Einfuhrabgaben leistungspflichtig wäre (angefochtener Entscheid E. 3d). Sie hat seine Leistungspflicht allein auf Art. 12 Abs. 1 und 2 VStrR gestützt. Das Bundesgericht wendet jedoch im Verfahren der Verwaltungsgerichtsbeschwerde das Bundesrecht von Amtes wegen an, ohne an die Begründung des angefochtenen Entscheides gebunden zu sein (vgl. E. 1.2).</w:t>
      </w:r>
    </w:p>
    <w:p>
      <w:r>
        <w:rPr>
          <w:b/>
        </w:rPr>
        <w:t>E. 3.3.4</w:t>
      </w:r>
    </w:p>
    <w:p>
      <w:r>
        <w:t>Der Beschwerdeführer behauptet, er habe keine Kenntnis von der ausländischen Herkunft des Fleisches gehabt. Die Vorinstanz hat indessen festgestellt, der Beschwerdeführer habe nach seinen eigenen Aussagen für das bei Y.________ bezogene Fleisch jeweils rund Fr. 2.-- bzw. Fr. 2.-- bis Fr. 3.-- pro Kilogramm weniger bezahlt als bei anderen Anbietern (angefochtener Entscheid Ziff. 3b). Das Schweinefleisch von sehr guter Qualität sei zwar vakuumverpackt, jedoch lediglich in einem Opel Kombi ohne Kühlsystem und in Bananenschachteln angeliefert worden. Es sei gerichtsnotorisch, dass eine derartige Transportweise von Frischfleisch als zweifelhaft, zumindest aber als branchenunüblich zu gelten habe. Entgegen den Deklarationsvorschriften der Lebensmittelgesetzgebung seien die Vakuumverpackungen weder mit einer Etikette versehen noch handschriftlich bezeichnet gewesen. Sie hätten damit keinerlei Angaben über Sachbezeichnung, Abpackdatum, Mindesthaltbarkeit, Verbrauchsdatum etc. aufgewiesen. Einen schriftlichen Beleg über die Herkunft des Fleisches habe der Beschwerdeführer nie verlangt. Er habe sich bei Y.________ nach eigenen Angaben auch nicht mündlich danach erkundigt. Eine Quittierung der Bezahlung habe nicht stattgefunden. Der Beschwerdeführer, seit 1967 Betreiber des Restaurants, habe aufgrund seiner einschlägigen beruflichen Erfahrung und angesichts der Umstände der Geschäftsabwicklung dauerhaft Anlass zu Zweifeln an der Seriosität von Y.________ und an der Legalität des bezogenen Fleisches haben müssen. Er hätte sich nicht damit begnügen dürfen, dass Qualität und Preis immer stimmten. Es könne nicht angehen, dass ihn die Herkunft des Fleisches nicht interessiere. Aufgrund der gesamten Umstände hätte er Y.________ vielmehr ernsthaft zur Rede stellen müssen, um nicht dem Vorwurf ausgesetzt zu sein, seine Sorgfaltspflichten arg verletzt zu haben. Trotz der Zweifel, die er als erfahrener Berufsmann über die Legalität des Fleisches hätte haben müssen, habe er nichts dagegen unternommen, sondern weiterhin regelmässig Fleisch von Y.________ bezogen. Damit habe er die ihm obliegende berufliche Sorgfaltspflicht verletzt. Was der Beschwerdeführer dagegen vorbringt, lässt die von der Vorinstanz vorgenommene Feststellung und Würdigung des Sachverhalts nicht als offensichtlich unrichtig erscheinen. Insbesondere legt er nicht dar, dass die wiedergegebenen Aussagen so nicht gemacht wurden. Dass der Beschwerdeführer angeblich auch schon bei anderen Anbietern gleichartige Ware zu den gleichen oder nur leicht erhöhten Preisen bezogen haben soll (Beschwerde S. 7 Ziff. 1.4), ist unerheblich: Angesichts der klaren Aussagen des Beschwerdeführers betreffend den erzielten Preisvorteil bestand für die Vorinstanz kein Anlass, an diesen zu zweifeln bzw. genauer abzuklären, ob der Beschwerdeführer im jeweiligen Zeitpunkt dieselbe Menge und Qualität auch andernorts zum gleichen Preis hätte erwerben können. Er hat bei seiner Befragung ausdrücklich erklärt, die erwähnte Preisdifferenz sei neben der guten Qualität sicher mit ein Grund gewesen, das Fleisch bei Y.________ zu beziehen (Beschwerdebeilage 3 S. 11). Nicht zu beanstanden ist ebenfalls, dass die Vorinstanz auf einen schwerwiegenden Verstoss der Sorgfaltspflicht geschlossen hat. Denn der Beschwerdeführer - dem die Gepflogenheiten des Fleischhandels und insbesondere die Deklarationsvorschriften bekannt sind oder zumindest bekannt sein müssen - musste auf Grund der von der Vorinstanz festgestellten Umstände davon ausgehen, dass das bezogene Fleisch jedenfalls nicht aus den üblichen (teureren) Handelskanälen stammte und möglicherweise unter Umgehung oder Missachtung insbesondere von lebensmittelpolizeilichen Vorschriften geliefert wurde. Im Speziellen war er dadurch - neben der Inkaufnahme einer gesundheitlichen Gefährdung seiner Gäste - nicht in der Lage, seiner Auskunfts- und Bezeichnungspflicht zu genügen (vgl. insb. Art. 20 f. des Bundesgesetzes vom 9. Oktober 1992 über Lebensmittel und Gebrauchsgegenstände [Lebensmittelgesetz, LMG; SR 817.0] und Art. 12, 17, 123 ff. der Lebensmittelverordnung vom 1. März 1995 [LMV; SR 817.02] ). Darüber hinaus nahm er mit dem Unterlassen der Herkunftsabklärung - die insbesondere im Fleischhandel bereits aus gesundheitspolizeilichen Gründen verlangt werden muss - auch in Kauf, dass das Fleisch aus dem nahen Ausland illegal eingeführt worden sein könnte. Ins Gewicht fällt im vorliegenden Fall vor allem der Umfang der in Frage stehenden Fleischlieferungen (2'844 kg in fünf Jahren) und deren Regelmässigkeit. Dadurch hat er gegenüber seinem Lieferanten seine generelle Bereitschaft zur Abnahme solcher Waren kundgetan und damit die Einfuhr mitveranlasst. Unter Berücksichtigung aller Umstände ist der Beschwerdeführer daher als Auftraggeber im Sinne der oben (E. 3.3.2) dargelegten Rechtsprechung zu Art. 13 ZG in Verbindung mit Art. 9 ZG zu betrachten. Als solcher haftet er solidarisch mit demjenigen, der die Ware über die Grenze gebracht hat, für den gesamten, auf seinen Fleischbezügen nicht erhobenen Abgabebetrag. Für diesen ist er gemäss Art. 12 Abs. 2 VStrR nachleistungspflichtig.</w:t>
      </w:r>
    </w:p>
    <w:p>
      <w:r>
        <w:rPr>
          <w:b/>
        </w:rPr>
        <w:t>E. 4</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