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2A.590/1999 vom 17. April 2000</w:t>
      </w:r>
    </w:p>
    <w:p>
      <w:r>
        <w:t>Bundesgericht, 2000-04-17, DE</w:t>
      </w:r>
    </w:p>
    <w:p>
      <w:r>
        <w:rPr>
          <w:b/>
        </w:rPr>
        <w:t xml:space="preserve">Quelle: </w:t>
      </w:r>
      <w:r>
        <w:t>https://mcp.opencaselaw.ch/entscheid/bger_2A.590_1999</w:t>
      </w:r>
    </w:p>
    <w:p>
      <w:r>
        <w:t>FR: TF 2A.590/1999 du 17 avril 2000</w:t>
      </w:r>
    </w:p>
    <w:p>
      <w:r>
        <w:t>IT: TF 2A.590/1999 del 17 aprile 2000</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b) Der Beschwerdeführer ist im Besitze einer Niederlassungsbewilligung. Damit hat seine Ehefrau gemäss Art. 17 Abs. 2 ANAG Anspruch auf Erteilung und Verlängerung der Aufenthaltsbewilligung, solange die Ehegatten zusammen wohnen. Ferner garantiert Art. 8 EMRK den Schutz des Familienlebens. Gestützt darauf ist die Verwaltungsgerichtsbeschwerde des um die fremdenpolizeiliche Bewilligung ersuchenden Ausländers oder seiner hier anwesenden Verwandten zulässig, wenn diese über ein gefestigtes Anwesenheitsrecht (insbesondere Niederlassung) in der Schweiz verfügen und die familiäre Beziehung tatsächlich gelebt wird und intakt ist ( BGE 124 II 361 E. 1b S. 364, mit Hinweisen). Nach der Rechtsprechung setzt die Annahme eines gefestigten Anwesenheitsrechts wenigstens einen festen Rechtsanspruch auf eine Aufenthaltsbewilligung voraus ( BGE 122 II 385 E. 1c S. 389). Nachdem die Ehefrau des Beschwerdeführers in diesem Sinne grundsätzlich ein gefestigtes Anwesenheitsrecht hat und die Beziehung zu ihrer Tochter intakt ist und gelebt wird, erweist sich die Verwaltungsgerichtsbeschwerde auch in Bezug auf diese als zulässig.</w:t>
      </w:r>
    </w:p>
    <w:p>
      <w:r>
        <w:rPr>
          <w:b/>
        </w:rPr>
        <w:t>E. 2</w:t>
      </w:r>
    </w:p>
    <w:p>
      <w:r>
        <w:t>a) Im Fremdenpolizeirecht stellt das Bundesgericht nur dann auf die aktuellen tatsächlichen und rechtlichen Umstände ab, wenn nicht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 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mit Hinweis).</w:t>
      </w:r>
    </w:p>
    <w:p>
      <w:r>
        <w:rPr>
          <w:b/>
        </w:rPr>
        <w:t>E. 3</w:t>
      </w:r>
    </w:p>
    <w:p>
      <w:r>
        <w:t>a) Der Beschwerdeführer macht geltend, die Vorinstanz sei von einem falschen Sachverhalt ausgegangen, denn die Tochter F.________ sei seine leibliche Tochter; zwar sei auf dem Geburtsschein G.________, der ehemalige Ehemann seiner heutigen Ehefrau E.________, als Vater von F.________ aufgeführt; jedoch habe E.________ die Vermutung der Vaterschaft des Ehemannes, welche auch das polnische Recht kenne, bei einem Gericht in Polen angefochten; das Verfahren sei seit beinahe zwei Jahren hängig. Dass der Beschwerdeführer seiner Meinung nach der leibliche Vater von F.________ ist, drückte er im Verfahren vor Verwaltungsgericht indirekt aus, indem er formulierte: "Wird der Familiennachzug abgelehnt, müsste er [Beschwerdeführer] mit seiner Ehefrau und seinem Kind wieder nach Polen zurückkehren". Er erklärte hingegen nicht, weshalb auf dem Geburtsschein vom 28. November 1997 G.________ als Kindsvater eingetragen ist. Das Verwaltungsgericht kam zum Schluss, dass die vom Beschwerdeführer gewählte Formulierung ein "offensichtliches Schreibversehen" darstelle und dass davon auszugehen sei, dass zwischen dem Beschwerdeführer und F.________ kein Kindsverhältnis bestehe. Der Beschwerdeführer wirft dem Verwaltungsgericht vor, es habe den Grundsatz des rechtlichen Gehörs verletzt, da es ihm nie Gelegenheit gegeben habe, zu diesem Punkt Stellung zu nehmen, sondern einfach von einem Versehen ausgegangen sei. b) Das durch den hier noch anwendbaren Art. 4 aBV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 BGE 122 I 53 E. 4a S.55, mit Hinweisen). Im vorliegenden Fall hat der Beschwerdeführer in der Beschwerdeschrift keine Beweise angeboten für seine - wie erwähnt eher nebenbei gemachte - Behauptung, er sei der leibliche Vater von F.________. Es kann dem Verwaltungsgericht auch nicht etwa vorgeworfen werden, es sei auf seine Äusserungen betreffend Vaterschaft von F.________ nicht eingegangen. Damit liegt keine Verletzung des Grundsatzes des rechtlichen Gehörs vor; vielmehr stellt sich die Frage, ob das Verwaltungsgericht den massgeblichen Sachverhalt korrekt und vollständig ermittelt hat. c) Für die Feststellung des Sachverhalts gilt im Verwaltungsverfahren grundsätzlich die Untersuchungsmaxime. Diese wird jedoch relativiert durch die Mitwirkungspflicht der Parteien (vgl. Art. 13 VwVG ),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Fall trifft das insbesondere auf die vom Beschwerdeführer angerufenen Umstände - namentlich persönlicher Art - in seiner Heimat zu; solche Tatsachen lassen sich erfahrungsgemäss von den Schweizer Behörden, wenn überhaupt, nur mit erhöhtem Aufwand abklären ( BGE 124 II 361 E. 2b S. 365, mit Hinweis). Der Beschwerdeführer hat zwar auch noch in Ziff. 2 seiner Anträge darauf hingewiesen, dass er seiner Meinung nach der Vater von F.________ sei: Er beantragte, ihm bzw. seiner Ehefrau "und seiner Tochter" sei eine ordentliche Jahresaufenthaltsbewilligung im Rahmen des Familiennachzugs zu gewähren. Insgesamt muss ihm aber vorgeworfen werden, er sei seiner Mitwirkungspflicht nur in ungenügendem Masse nachgekommen: Davon ausgehend, der Vater von F.________ zu sein, hätte er beantragen können, die Tochter F.________ sei in seine Niederlassungsbewilligung einzubeziehen (vgl. Art. 17 Abs. 2 ANAG ). Zudem hätte er schon vor Verwaltungsgericht darüber informieren können, dass seine Ehefrau die Vermutung der Vaterschaft des Ehemannes beim polnischen Gericht angefochten hat: Die Verwaltungsgerichtsbeschwerde an das Bundesgericht, in welcher er geltend macht, das Anfechtungsverfahren sei seit bald zwei Jahren in Polen hängig, datiert vom 9. Dezember 1999. Demnach wäre dieses Verfahren etwa Ende 1997/anfangs 1998 eingeleitet worden, und es ist davon auszugehen, dass der Beschwerdeführer im Zeitpunkt seiner Beschwerde an das Verwaltungsgericht (12. Mai 1998) davon Kenntnis hatte. Obwohl der Beschwerdeführer seiner Mitwirkungspflicht in nur ungenügendem Masse nachgekommen ist, fragt sich, ob das Verwaltungsgericht den - wenn auch rudimentären - Hinweisen des Beschwerdeführers auf seine Vaterschaft nicht trotzdem hätte nachgehen und weitere Abklärungen veranlassen müssen. Die Frage kann jedoch offen bleiben, da die Beschwerde aus einem anderen Grund gutzuheissen ist.</w:t>
      </w:r>
    </w:p>
    <w:p>
      <w:r>
        <w:rPr>
          <w:b/>
        </w:rPr>
        <w:t>E. 4</w:t>
      </w:r>
    </w:p>
    <w:p>
      <w:r>
        <w:t>Das Verwaltungsgericht hat bei der Berücksichtigung der finanziellen Verhältnisse des Ehepaars davon abgesehen, eine theoretische Möglichkeit der Ehefrau zur Mitfinanzierung der Lebenshaltungskosten zu berücksichtigen. a) Gemäss der Rechtsprechung des Bundesgerichts genügen, wenn ein Anspruch auf Familiennachzug aufgrund von Art. 8 EMRK oder Art. 17 Abs. 2 ANAG besteht, bloss finanzielle Bedenken nicht für die Abweisung des Gesuches; es muss konkret die Gefahr einer fortgesetzten und erheblichen Fürsorgeabhängigkeit gegeben sein ( BGE 125 II 633 E. 3c S. 641, mit Hinweisen). Dabei ist von den aktuellen Verhältnissen auszugehen, die wahrscheinliche finanzielle Entwicklung aber auf längere Sicht abzuwägen. Weiter darf auch nicht einzig auf das Einkommen des hier anwesenden Familienangehörigen abgestellt werden, sondern es sind - dem Gesetzeszweck der Vereinigung der Gesamtfamilie entsprechend - die finanziellen Möglichkeiten aller Familienmitglieder über eine längere Sicht einzubeziehen. Ergänzend hat das Bundesgericht auf die gesetzliche Unterstützungspflicht nach Art. 328 ZGB verwiesen. Mit Blick auf die gegenseitige Unterhaltspflicht gemäss Art. 163 ZGB muss dies erst recht unter Ehegatten gelten. Das Einkommen des Angehörigen, der an die Lebenshaltungskosten der Familie beitragen soll, ist daran zu messen, ob und in welchem Umfang es tatsächlich realisierbar ist. In diesem Sinne müssen die Erwerbsmöglichkeiten und das damit verbundene Zusatzeinkommen konkret belegt und mit gewisser Wahrscheinlichkeit sowie, soweit möglich, auf mehr als nur für eine kurze Frist erhärtet sein, um Berücksichtigung zu finden ( BGE 122 II 1 E. 3c S. 8 f., mit Hinweisen). b) Der Beschwerdeführer räumt selbst ein, dass er schon seit längerer Zeit fürsorgeabhängig ist. Die vorliegende Situation zeichnet sich durch die Besonderheit aus, dass sich nicht die Frage stellt, ob der Beschwerdeführer durch den Nachzug von Ehefrau und Tochter neu fürsorgeabhängig werden könnte; er ist es schon. Haben jedoch die kantonalen Behörden davon abgesehen, ihn aus diesem Grund aus der Schweiz auszuweisen (vgl. Art. 10 Abs. 1 lit. d ANAG ), so dürfen sie den Nachzug von Ehefrau und Tochter nicht mit der Begründung verweigern, dass die Ehefrau nicht in der Lage sein könnte, für die ganze Familie zu sorgen bzw. die schon bestehende Fürsorgeabhängigkeit ihres Ehemannes mit ihrem Einkommen zu beseitigen. Ausschlaggebend darf daher einzig sein, dass die Ehefrau nicht ihrerseits der Fürsorge zur Last fallen wird, d.h. dass sie mit ihrem Einkommen zumindest sich und ihre Tochter wird unterhalten können. c) Das Verwaltungsgericht hat davon abgesehen, ein mögliches Einkommen der Ehefrau mitzuberücksichtigen, weil diese weder über den Verlauf ihrer Stellensuche konkret informiert noch eine konkrete Zusicherung eines Arbeitgebers für eine Arbeitsstelle geliefert habe. Dieses Verhalten ist dem Beschwerdeführer zuzurechnen. Er ist damit seiner Mitwirkungspflicht auch hier nur in ungenügendem Masse nachgekommen. Indessen durfte das Verwaltungsgericht nicht einfach davon ausgehen, die Ehefrau werde kein Einkommen haben. Ob sie - sie ist offenbar Ingenieurin - sofort auf ihrem angestammten Beruf eine Beschäftigung finden wird, ist zwar fraglich. Es ist jedoch damit zu rechnen, dass sie anfänglich zumindest eine Stelle etwa als Bürohilfe oder in Verkauf oder Gastgewerbe erhalten kann. Mit einer solchen Stelle sollte sie aber fähig sein, auch im Falle einer Teilzeitarbeit, für sich und ihre Tochter zu sorgen. Das Verwaltungsgericht hätte in diesem Zusammenhang auch abklären müssen, ob der Beschwerdeführer, welcher ausgesteuert ist, teilweise die Betreuung der nun fünfjährigen Tochter übernehmen könnte, um seiner Ehefrau eine ausgedehntere Erwerbstätigkeit zu ermöglichen. Da das Verwaltungsgericht in Bezug auf die finanzielle Situation des Beschwerdeführers und seiner Ehefrau den massgeblichen Sachverhalt ungenügend abgeklärt hat, ist der angefochtene Entscheid aufzuheben und die Sache zu neuer Abklärung an das Verwaltungsgericht zurückzuweisen. Dieses wird damit auch Gelegenheit erhalten, der Frage der Vaterschaft an der Tochter F.________ nachzugehen.</w:t>
      </w:r>
    </w:p>
    <w:p>
      <w:r>
        <w:rPr>
          <w:b/>
        </w:rPr>
        <w:t>E. 5</w:t>
      </w:r>
    </w:p>
    <w:p>
      <w:r>
        <w:t>Bei diesem Ausgang des Verfahrens sind keine Gerichtskosten zu sprechen ( Art. 156 Abs. 2 OG ). Der Kanton Luzern hat zudem dem Beschwerdeführer eine Parteientschädigung auszurichten ( Art. 159 Abs. 1 und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