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2A.58/2006 vom 27. April 2006</w:t>
      </w:r>
    </w:p>
    <w:p>
      <w:r>
        <w:t>Bundesgericht, 2006-04-27, DE</w:t>
      </w:r>
    </w:p>
    <w:p>
      <w:r>
        <w:rPr>
          <w:b/>
        </w:rPr>
        <w:t xml:space="preserve">Quelle: </w:t>
      </w:r>
      <w:r>
        <w:t>https://mcp.opencaselaw.ch/entscheid/bger_2A.58_2006</w:t>
      </w:r>
    </w:p>
    <w:p>
      <w:r>
        <w:t>FR: TF 2A.58/2006 du 27 avril 2006</w:t>
      </w:r>
    </w:p>
    <w:p>
      <w:r>
        <w:t>IT: TF 2A.58/2006 del 27 aprile 2006</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2.1</w:t>
      </w:r>
    </w:p>
    <w:p>
      <w:r>
        <w:t>Keine Ansprüche lassen sich vorliegend aus dem innerstaatlichen Gesetzesrecht ableiten. Die Beschwerdeführer sind gemäss unbestrittener Feststellung im angefochtenen Entscheid lediglich im Besitze einer Aufenthaltsbewilligung, auf deren Verlängerung sie keinen Anspruch haben (vgl. BGE 119 Ib 91 E. 1d S. 95). Der Weg der Verwaltungsgerichtsbeschwerde ist ihnen insoweit verschlossen. In der Beschwerdeschrift wird ein Anwesenheitsrecht bzw. der Anspruch auf eine Aufenthaltsbewilligung jedoch aus dem in Art. 8 EMRK bzw. Art. 13 BV verankerten Recht auf Achtung des Privatlebens abgeleitet. Diese Frage ist als Eintretensvoraussetzung für die Verwaltungsgerichtsbeschwerde zu prüfen ( BGE 130 II 281 E. 1 S. 283 f.; 127 II 161 E. 1b S. 165).</w:t>
      </w:r>
    </w:p>
    <w:p>
      <w:r>
        <w:rPr>
          <w:b/>
        </w:rPr>
        <w:t>E. 2.2</w:t>
      </w:r>
    </w:p>
    <w:p>
      <w:r>
        <w:t>Aus dem Anspruch auf Achtung des Privatlebens kann nach der Rechtsprechung des Bundesgerichts ein Recht auf Verbleib im Land nur unter ganz besonderen Umständen abgeleitet werden. Eine lange Anwesenheit in der Schweiz und die damit verbundene normale Integration genügen für sich allein nicht; erforderlich sind vielmehr besonders intensive private Beziehungen beruflicher oder gesellschaftlicher Natur zum Gastland ( BGE 126 II 377 E. 2c S. 384 ff., mit Hinweisen, 120 Ib 16 E. 3b S. 22).</w:t>
      </w:r>
    </w:p>
    <w:p>
      <w:r>
        <w:rPr>
          <w:b/>
        </w:rPr>
        <w:t>E. 2.3</w:t>
      </w:r>
    </w:p>
    <w:p>
      <w:r>
        <w:t>Der Beschwerdeführer X.________ weilt im Wesentlichen seit 1985 in der Schweiz, seine Ehefrau seit 1994. Das Ehepaar hat zwei hier zur Welt gekommene Kinder (geb. 1995 und 2000). Der Ehemann kann sich damit zwar auf eine relativ lange Aufenthaltsdauer in der Schweiz berufen, doch kann von einer besonders intensiven Integration offensichtlich nicht die Rede sein (vgl. vorne "B." und "C."). Den Beschwerdeführern ist eine Rückkehr in ihr gemeinsames Heimatland Algerien auch sonstwie nicht unzumutbar, weshalb die Anerkennung eines Anwesenheitsanspruches unter dem Titel der Achtung des Privatlebens gemäss Art. 8 EMRK ausser Betracht fällt. Ebenso wenig zum Zuge kommen kann hier der Anspruch auf Achtung des Familienlebens, da die Familie durch die Pflicht zur (gemeinsamen) Ausreise in das Heimatland nicht getrennt wird ( BGE 126 II 377 E. 2b/cc S. 383). Das Rechtsmittel der Verwaltungsgerichtsbeschwerde ist daher unzulässig.</w:t>
      </w:r>
    </w:p>
    <w:p>
      <w:r>
        <w:rPr>
          <w:b/>
        </w:rPr>
        <w:t>E. 3</w:t>
      </w:r>
    </w:p>
    <w:p>
      <w:r>
        <w:t>Die Eingabe ist, gemäss den eventualiter gestellten Begehren, als staatsrechtliche Beschwerde zu behandeln. Da auf die Erneuerung der Aufenthaltsbewilligungen nach dem Gesagten kein Anspruch besteht, fehlt es den Beschwerdeführern in der Sache jedoch an der Legitimation ( Art. 88 OG ).</w:t>
      </w:r>
    </w:p>
    <w:p>
      <w:r>
        <w:t>Trotz fehlender Legitimation in der Sache sind die Beschwerdeführer befugt, eine Verletzung jener Verfahrensgarantien geltend zu machen, deren Missachtung eine formelle Rechtsverweigerung darstellt (vgl. BGE 127 II 161 E. 3b S. 167 mit Hinweisen). Dabei sind aber Rügen nicht zu hören, die im Ergebnis auf eine materielle Überprüfung des Bewilligungsentscheides abzielen, so etwa die Behauptung, Beweisanträge seien wegen Unerheblichkeit oder willkürlicher antizipierter Beweiswürdigung abgelehnt worden und die Begründung des angefochtenen Entscheids sei unvollständig oder zu wenig differenziert ausgefallen und setze sich nicht mit sämtlichen von den Parteien erhobenen Argumenten auseinander (vgl. BGE 118 Ia 232 E. 1c S. 236; 117 Ia 90 E. 4a S. 95).</w:t>
      </w:r>
    </w:p>
    <w:p>
      <w:r>
        <w:t>Die Beschwerdeführer beschränken sich in diesem Zusammenhang denn auch auf die Geltendmachung von Gehörsverletzungen. Die betreffenden Einwendungen (Nichtbeachtung des Protokollauszugs der Fürsorgekommission M.________ vom 13. Dezember 2000, Nichtberücksichtigung von verschiedenen Arbeitszeugnissen, fehlende Bemühungen der kantonalen Instanzen, sich mit den Argumenten der Beschwerdeführer auseinander zu setzen, vgl. S. 10 f. der Beschwerdeschrift) sind jedoch untrennbar mit den streitigen Sachverhaltsfragen verknüpft, weshalb praxisgemäss darauf nicht eingetreten werden kann (vgl. Urteil 2P.116/2001 vom 29. August 2001, E. 3b mit Hinweisen).</w:t>
      </w:r>
    </w:p>
    <w:p>
      <w:r>
        <w:rPr>
          <w:b/>
        </w:rPr>
        <w:t>E. 4</w:t>
      </w:r>
    </w:p>
    <w:p>
      <w:r>
        <w:t>Nach dem Gesagten ist auf die vorliegende Beschwerde nicht einzutreten.</w:t>
      </w:r>
    </w:p>
    <w:p>
      <w:r>
        <w:t>Bei diesem Verfahrensausgang sind die Gerichtskosten den Beschwerdeführern aufzuerlegen (Art. 156 in Verbindung mit Art. 153 und 153a OG ). Ihrem Gesuch um unentgeltliche Rechtspflege und Verbeiständung ist mangels Erfolgsaussicht der gestellten Rechtsbegehren (vgl. Art. 152 OG ) nicht zu entsprechen, da über die Unzulässigkeit des Rechtsmittels bzw. der erhobenen Rügen keine ernsthaften Zweifel bestehen konnten. Der finanziellen Situation der Beschwerdeführer wird bei der Bemessung der Gerichtsgebühr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