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2A.582/2002 vom 30. April 2003</w:t>
      </w:r>
    </w:p>
    <w:p>
      <w:r>
        <w:t>Bundesgericht, 2003-04-30, DE</w:t>
      </w:r>
    </w:p>
    <w:p>
      <w:r>
        <w:rPr>
          <w:b/>
        </w:rPr>
        <w:t xml:space="preserve">Quelle: </w:t>
      </w:r>
      <w:r>
        <w:t>https://mcp.opencaselaw.ch/entscheid/bger_2A.582_2002</w:t>
      </w:r>
    </w:p>
    <w:p>
      <w:r>
        <w:t>FR: TF 2A.582/2002 du 30 avril 2003</w:t>
      </w:r>
    </w:p>
    <w:p>
      <w:r>
        <w:t>IT: TF 2A.582/2002 del 30 aprile 2003</w:t>
      </w:r>
    </w:p>
    <w:p>
      <w:pPr>
        <w:pStyle w:val="Heading2"/>
      </w:pPr>
      <w:r>
        <w:t>Regeste</w:t>
      </w:r>
    </w:p>
    <w:p>
      <w:r>
        <w:t>Öffentliche Finanzen &amp; Abgaberecht</w:t>
      </w:r>
    </w:p>
    <w:p>
      <w:pPr>
        <w:pStyle w:val="Heading2"/>
      </w:pPr>
      <w:r>
        <w:t>Erwägungen</w:t>
      </w:r>
    </w:p>
    <w:p>
      <w:r>
        <w:rPr>
          <w:b/>
        </w:rPr>
        <w:t>E. 1</w:t>
      </w:r>
    </w:p>
    <w:p>
      <w:r>
        <w:t>Die Beschwerdeführer fechten die Steuerveranlagung 1999/2000 ausdrücklich nur mit Bezug auf die direkte Bundessteuer an.</w:t>
      </w:r>
    </w:p>
    <w:p>
      <w:r>
        <w:rPr>
          <w:b/>
        </w:rPr>
        <w:t>E. 1.1</w:t>
      </w:r>
    </w:p>
    <w:p>
      <w:r>
        <w:t>Die damalige Vertreterin der Beschwerdeführer hatte in ihrer Rekurseingabe vom 28. Mai 2001, die sich gegen die Einspracheverfügungen vom 27. April 2001 richtete, ausdrücklich erklärt, die Veranlagung für das Einkommen der direkten Bundessteuer werde nicht bestritten. Gleichwohl focht sie in ihrer Rekursergänzung vom 20. Juni 2001, nachdem den Beschwerdeführern die Veranlagung auch persönlich mitgeteilt worden war, die Veranlagung der direkten Bundessteuer an. Die Vorinstanz ist auf die entsprechenden Begehren nicht eingetreten, weil die Rekursergänzung erst nach Ablauf der Rechtsmittelfrist eingereicht worden sei; einzig die Einspracheverfügung vom 27. April 2001 stelle eine anfechtbare Verfügung dar; die aus technischen Gründen erst am 22. Mai 2001 an die Beschwerdeführer persönlich verschickten Schreiben hätten als blosse Bestätigungen der Einspracheverfügung keine Rechtswirkung.</w:t>
      </w:r>
    </w:p>
    <w:p>
      <w:r>
        <w:rPr>
          <w:b/>
        </w:rPr>
        <w:t>E. 1.2</w:t>
      </w:r>
    </w:p>
    <w:p>
      <w:r>
        <w:t>Diese Begründung ist nicht zu beanstanden. Die Steuerverwaltung wies in ihrem Schreiben vom 27. April 2001 an die C.________ Treuhand AG ausdrücklich darauf hin, dass sie die Veranlagungsverfügungen den von dieser vertretenen Personen in einem späteren Zeitpunkt zusätzlich auch noch uneingeschrieben zustellen werde, dass die 30-tägige Rechtsmittelfrist aber mit der Zustellung der vorliegenden, eingeschriebenen Verfügung zu laufen beginne. Die Beschwerdeführer machen zu Recht nicht geltend, die Verfügung hätte nicht an die von ihnen bevollmächtigte Vertreterin zugestellt werden dürfen. Unter diesen Umständen vermochte die zusätzliche Zustellung der Verfügung an die Beschwerdeführer persönlich keine neue Rechtsmittelfrist zu eröffnen, worauf im Begleitschreiben übrigens ausdrücklich hingewiesen worden war. Anders könnte es sich höchstens dann verhalten, wenn die Einspracheverfügung vom 27. April 2001 als geradezu nichtig betrachtet werden müsste. Davon gehen sinngemäss auch die Beschwerdeführer aus.</w:t>
      </w:r>
    </w:p>
    <w:p>
      <w:r>
        <w:rPr>
          <w:b/>
        </w:rPr>
        <w:t>E. 2.1</w:t>
      </w:r>
    </w:p>
    <w:p>
      <w:r>
        <w:t>Die Einspracheverfügung weist unbestrittenermassen Mängel auf. Fehlerhafte Verwaltungsakte sind indessen im Allgemeinen nicht nichtig, sondern bloss anfechtbar. Nur in seltenen Fällen gelten Verwaltungsverfügungen als nichtig, d.h. entfalten sie keinerlei Rechtswirkungen. Nach der Rechtsprechung kann dies zutreffen, wenn der ihnen anhaftende Mangel besonders schwer wiegt, wenn er offensichtlich oder zumindest leicht erkennbar ist und wenn überdies die Rechtssicherheit durch die Annahme der Nichtigkeit nicht ernsthaft gefährdet wird. Als Nichtigkeitsgründe fallen hauptsächlich schwer wiegende Verfahrensfehler in Betracht (wie z.B. der Umstand, dass der Betroffene keine Gelegenheit hatte, am Verfahren teilzunehmen; das Fehlen der gesetzlich vorgeschriebenen Form der Eröffnung) sowie die funktionelle oder sachliche Unzuständigkeit der verfügenden Behörde. Inhaltliche Mängel der Verfügung haben nur ausnahmsweise die Nichtigkeit zur Folge ( BGE 122 I 97 E. 3a/aa S. 99 mit Hinweisen; vgl. BGE 127 II 32 E. 3g S. 48; ASA 59 S. 638).</w:t>
      </w:r>
    </w:p>
    <w:p>
      <w:r>
        <w:rPr>
          <w:b/>
        </w:rPr>
        <w:t>E. 2.2</w:t>
      </w:r>
    </w:p>
    <w:p>
      <w:r>
        <w:t>Die Beschwerdeführer machen geltend, die Verfügung vom 27 April 2001 sei mit zahlreichen Form- oder Eröffnungsfehlern behaftet: Sie sei insbesondere nicht als Einspracheverfügung bezeichnet gewesen, habe keine Unterschrift und keine Rechtsmittelbelehrung enthalten und es sei auch der Steuersatz nicht angegeben worden; bei den kantonalen Steuern sei überdies auch die Angabe des Steuerbetrags fehlerhaft gewesen; schliesslich sei nicht klar gewesen, welcher der beigelegten Computerausdrucke die kantonalen Steuern und welcher die direkten Bundessteuer betroffen habe.</w:t>
      </w:r>
    </w:p>
    <w:p>
      <w:r>
        <w:rPr>
          <w:b/>
        </w:rPr>
        <w:t>E. 2.3</w:t>
      </w:r>
    </w:p>
    <w:p>
      <w:r>
        <w:t>Soweit diese Mängel überhaupt bestehen, wiegen sie keineswegs schwer: So trifft es zwar zu, dass die betreffenden Computerausdrucke als Veranlagungsverfügungen bezeichnet sind. Die Beschwerdeführer konnten aber nicht darüber im Zweifel sein, dass es sich in Wirklichkeit um Einspracheverfügungen handelte, wird doch im Text ausdrücklich erklärt, dass die Einsprache vom 27. März 2001 abgewiesen werde, und ist auch im Beilagenvermerk des Schreibens vom 27. April 2001 von solchen Verfügungen die Rede. Dieses Schreiben ist sodann vom Vorsteher-Stellvertreter des Steueramtes unterzeichnet; weshalb diese Unterschrift nicht auch die beigelegten Ausdrucke decken soll, legen die Beschwerdeführer nicht dar und ist auch nicht erkennbar. Es trifft im Weiteren zu, dass das dem Schreiben vom 27. April 2001 beigelegte Formular zwar keine genügende Rechtsmittelbelehrung enthält (vgl. Art. 35 Abs. 2 VwVG ; immerhin wird im Schreiben auf die Rechtsmittelfrist hingewiesen). Das Fehlen der in Art. 116 Abs. 1 des Bundesgesetzes vom 14. Dezember 1990 über die direkte Bundessteuer (DBG; SR 642.11) vorgeschriebenen Rechtsmittelbelehrung hat indessen regelmässig nicht die Nichtigkeit der betreffenden Verfügung zur Folge. Diese wird im Gegenteil wirksam, wenn der Steuerpflichtige durch den Mangel keinen Nachteil erleidet, was namentlich dann der Fall ist, wenn der Steuerpflichtige trotz des Mangels rechtzeitig das zutreffende Rechtsmittel ergreift ( BGE 114 Ib 112 E. 2a S. 115 f. mit Hinweis; Martin Zweifel, in: Kommentar zum Schweizerischen Steuerrecht, I/2b, Basel 2000, N. 47 zu Art. 116 DBG ). So verhält es sich hier, hat doch das Fehlen der Rechtsmittelbelehrung die Beschwerdeführer nicht daran gehindert, die Einspracheverfügung rechtzeitig bei der zuständigen Steuerrekurskommission anzufechten. Das Gleiche gilt für die weiteren gerügten Formmängel, die im Ergebnis für die Beschwerdeführer ebenfalls ohne negative Folgen geblieben sind. Was die fehlende Angabe des Steuersatzes betrifft (vgl. dazu Art. 130 Abs. 1 DBG ), ist im Übrigen darauf hinzuweisen, dass dem Schreiben vom 27 April 2001 zusammen mit dem Computerausdruck immerhin der Steuerbetrag und das steuerbare Einkommen entnommen werden konnten, woraus sich der Steuersatz durch einfache mathematische Operation errechnen liess. Auch aus diesem (ohnehin nicht schwer wiegenden) Mangel ist den Beschwerdeführern kein Nachteil erwachsen. Unter diesen Umständen kann von einer nichtigen Verfügung nicht die Rede sein.</w:t>
      </w:r>
    </w:p>
    <w:p>
      <w:r>
        <w:rPr>
          <w:b/>
        </w:rPr>
        <w:t>E. 3</w:t>
      </w:r>
    </w:p>
    <w:p>
      <w:r>
        <w:t>Die Vorinstanz hat die Rekursergänzung vom 20. Juni 2001 somit zu Recht als verspätet betrachtet. Die Beschwerde erweist sich demzufolge als unbegründet. Dem Ausgang des Verfahrens entsprechend sind die Kosten den Beschwerdeführern aufzuerlegen ( Art. 153, 153a und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