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2A.57/2005 vom 7. Februar 2005</w:t>
      </w:r>
    </w:p>
    <w:p>
      <w:r>
        <w:t>Bundesgericht, 2005-02-07, FR</w:t>
      </w:r>
    </w:p>
    <w:p>
      <w:r>
        <w:rPr>
          <w:b/>
        </w:rPr>
        <w:t xml:space="preserve">Quelle: </w:t>
      </w:r>
      <w:r>
        <w:t>https://mcp.opencaselaw.ch/entscheid/bger_2A.57_2005</w:t>
      </w:r>
    </w:p>
    <w:p>
      <w:r>
        <w:t>FR: TF 2A.57/2005 du 7 février 2005</w:t>
      </w:r>
    </w:p>
    <w:p>
      <w:r>
        <w:t>IT: TF 2A.57/2005 del 7 febbraio 2005</w:t>
      </w:r>
    </w:p>
    <w:p>
      <w:pPr>
        <w:pStyle w:val="Heading2"/>
      </w:pPr>
      <w:r>
        <w:t>Regeste</w:t>
      </w:r>
    </w:p>
    <w:p>
      <w:r>
        <w:t>autorisation de séjour | Droit de cité et droit des étrangers</w:t>
      </w:r>
    </w:p>
    <w:p>
      <w:pPr>
        <w:pStyle w:val="Heading2"/>
      </w:pPr>
      <w:r>
        <w:t>Erwägungen</w:t>
      </w:r>
    </w:p>
    <w:p>
      <w:r>
        <w:rPr>
          <w:b/>
        </w:rPr>
        <w:t>E. 1</w:t>
      </w:r>
    </w:p>
    <w:p>
      <w:r>
        <w:t>D'après l' art. 103 lettre a OJ , quiconque est atteint par la décision attaquée et a un intérêt digne de protection à ce qu'elle soit annulée ou modifiée a qualité pour recourir. La qualité pour recourir est donnée au justiciable touché plus que quiconque ou que la généralité des administrés dans ses intérêts économiques, matériels ou idéaux. En principe, seul peut former un recours de droit administratif celui qui apparaît formellement atteint, c'est-à-dire celui qui a participé à la procédure devant l'instance inférieure et dont les conclusions déposées alors ont été totalement ou partiellement écartées ( ATF 118 Ib 356 consid. 1a p. 359). Ainsi, il convient de dénier la qualité pour recourir à B.X.________ qui n'était pas partie à la procédure devant le Tribunal administratif. Le recours est donc irrecevable dans la mesure où il émane d'elle.</w:t>
      </w:r>
    </w:p>
    <w:p>
      <w:r>
        <w:rPr>
          <w:b/>
        </w:rPr>
        <w:t>E. 2</w:t>
      </w:r>
    </w:p>
    <w:p>
      <w:r>
        <w:t>Selon l' art. 7 al. 1 LSEE , le droit du conjoint étranger d'un ressortissant suisse à l'octroi d'une autorisation de séjour s'éteint lorsqu'il existe un motif d'expulsion. L' art. 10 al. 1 lettre a LSEE dispose qu'un étranger peut notamment être expulsé de Suisse ou d'un canton s'il a été condamné par une autorité judiciaire pour crime ou délit. L'expulsion ne sera toutefois prononcée que si elle paraît appropriée à l'ensemble des circonstances et qu'elle respecte le principe de la proportionnalité ( art. 11 al. 3 LSEE et 16 al. 3 RSEE). Le refus d'octroyer une autorisation de séjour au conjoint étranger d'un ressortissant suisse condamné pour crime ou délit suppose de même une pesée de tous les intérêts publics et privés en présence. Cela résulte non seulement de la référence, contenue dans l' art. 7 al. 1 LSEE , à un motif d'expulsion, mais encore de l' art. 8 CEDH . En effet, le droit au respect de la vie privée et familiale garanti par l' art. 8 par. 1 CEDH n'est pas absolu. Une ingérence dans l'exercice de ce droit est possible à certaines conditions selon l' art. 8 par. 2 CEDH . Pour procéder à la pesée des intérêts, l'autorité de police des étrangers s'inspire de considérations différentes de celles qui guident l'autorité pénale. Ainsi, la décision du juge pénal d'ordonner ou non l'expulsion d'un condamné étranger ou de l'ordonner avec sursis, respectivement la décision que prend l'autorité compétente de suspendre l'exécution de cette peine accessoire, repose d'abord sur les perspectives de réinsertion sociale de l'intéressé; l'autorité de police des étrangers, elle, se préoccupe avant tout de l'ordre et de la sécurité publics. Si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130 II 176 consid. 4.1 p. 185 et les références). Ce principe vaut même lorsqu'on ne peut pas - ou difficilement - exiger de l'épouse suisse de l'étranger qu'elle quitte la Suisse, ce qui empêche de fait les conjoints de vivre ensemble d'une manière ininterrompue.</w:t>
      </w:r>
    </w:p>
    <w:p>
      <w:r>
        <w:rPr>
          <w:b/>
        </w:rPr>
        <w:t>E. 3</w:t>
      </w:r>
    </w:p>
    <w:p>
      <w:r>
        <w:t>A.X.________ s'est rendu coupable de "crime ou délit" ( art. 10 al. 1 lettre a LSEE ), de sorte que son droit à l'octroi d'une autorisation de séjour s'est en principe éteint. Toutefois, il convient d'examiner si l'arrêt attaqué est justifié sur la base des intérêts en présence.</w:t>
      </w:r>
    </w:p>
    <w:p>
      <w:r>
        <w:rPr>
          <w:b/>
        </w:rPr>
        <w:t>E. 3.1</w:t>
      </w:r>
    </w:p>
    <w:p>
      <w:r>
        <w:t>Le recourant a été condamné à six ans de réclusion, ce qui dépasse de loin la limite indicative de deux ans de privation de liberté susmentionnée. La gravité des délits qu'il a commis notamment en rapport avec les stupéfiants est évidente: il a vendu 1'400 g d'héroïne, réalisant ainsi un bénéfice de 26'500 fr. Or, la protection de la collectivité publique face au développement du marché de la drogue constitue incontestablement un intérêt public prépondérant justifiant l'éloignement de Suisse d'un étranger qui s'est rendu coupable d'infraction grave à la loi sur les stupéfiants. Les étrangers qui sont mêlés au commerce des stupéfiants doivent donc s'attendre à faire l'objet de mesures d'éloignement. Certes, le recourant était en Suisse depuis environ cinq ans quand l'arrêt attaqué est intervenu. Toutefois, il n'était pas dans ce pays depuis quatre mois qu'il se livrait déjà à de graves infractions. Il a ainsi été incarcéré de l'été 2000 à l'été 2004, étant entendu que, depuis le 23 novembre 2003, il a bénéficié d'un régime de semi-liberté. Il faut donc relativiser l'argumentation que le recourant tire de la durée de son séjour en Suisse, de son comportement depuis les délits pour lesquels il a été condamné et de son intégration. On ne saurait en effet considérer que l'intéressé, qui a été emprisonné durant la plus grande partie de son temps en Suisse, s'y est bien intégré et exclure les risques de récidives. Par ailleurs, B.X.________, qui entretenait une relation intime avec le recourant depuis 2000, devait s'attendre, quand elle l'a épousé le 3 octobre 2003, à devoir quitter son pays ou vivre séparée de son mari. De plus, elle est déjà allée en Albanie, pays dont elle parle la langue et connaît la culture. Il est vrai qu'elle souffre de troubles psychiques et redoute d'être séparée de sa mère, également fragile sur le plan psychique, et de sa grand-mère. Toutefois, elle est prête à suivre son mari dans sa patrie ou dans un autre pays (la France, par exemple).</w:t>
      </w:r>
    </w:p>
    <w:p>
      <w:r>
        <w:rPr>
          <w:b/>
        </w:rPr>
        <w:t>E. 3.2</w:t>
      </w:r>
    </w:p>
    <w:p>
      <w:r>
        <w:t>Compte tenu de l'ensemble des circonstances, l'autorité intimée n'a pas violé le droit fédéral, ni excédé ou abusé de son pouvoir d'appréciation. En particulier, elle a respecté le principe de la proportionnalité et appliqué correctement les art. 7 al. 1, 10 al. 1 et 11 al. 3 LSEE, 16 al. 3 RSEE ainsi que 8 CEDH.</w:t>
      </w:r>
    </w:p>
    <w:p>
      <w:r>
        <w:rPr>
          <w:b/>
        </w:rPr>
        <w:t>E. 3.3</w:t>
      </w:r>
    </w:p>
    <w:p>
      <w:r>
        <w:t>Au demeurant, le recourant ne saurait tirer argument de l'arrêt rendu le 15 juillet 2003 par la Cour européenne des droits de l'homme dans la cause Mokrani c. France (Requête n° 52206/99), car ce cas diffère sur des points essentiels de la présente espèce. En effet, Boubaker Mokrani, ressortissant algérien, était né en France, y avait toujours séjourné et y avait l'essentiel de ses attaches sociales, de même que de nombreuses attaches familiales. En outre, il avait été condamné à quatre ans d'emprisonnement, dont un avec sursis.</w:t>
      </w:r>
    </w:p>
    <w:p>
      <w:r>
        <w:rPr>
          <w:b/>
        </w:rPr>
        <w:t>E. 4</w:t>
      </w:r>
    </w:p>
    <w:p>
      <w:r>
        <w:t>Manifestement mal fondé dans la mesure où il est recevable, le recours doit être jugé selon la procédure simplifiée de l' art. 36a OJ . Le présent arrêt rend sans objet la demande d'effet suspensif. Succombant, les recourants doivent supporter les frais judiciaires ( art. 156 al. 1, 153 et 153a OJ ) et n'ont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