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2A.57/2000 vom 17. April 2000</w:t>
      </w:r>
    </w:p>
    <w:p>
      <w:r>
        <w:t>Bundesgericht, 2000-04-17, DE</w:t>
      </w:r>
    </w:p>
    <w:p>
      <w:r>
        <w:rPr>
          <w:b/>
        </w:rPr>
        <w:t xml:space="preserve">Quelle: </w:t>
      </w:r>
      <w:r>
        <w:t>https://mcp.opencaselaw.ch/entscheid/bger_2A.57_2000</w:t>
      </w:r>
    </w:p>
    <w:p>
      <w:r>
        <w:t>FR: TF 2A.57/2000 du 17 avril 2000</w:t>
      </w:r>
    </w:p>
    <w:p>
      <w:r>
        <w:t>IT: TF 2A.57/2000 del 17 aprile 2000</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b) Die Beschwerdeführerin ist im Besitze einer Niederlassungsbewilligung. Damit hat ihr Ehemann gemäss Art. 17 Abs. 2 ANAG Anspruch auf Erteilung und Verlängerung der Aufenthaltsbewilligung, solange die Ehegatten zusammen wohnen. Ferner garantiert Art. 8 EMRK den Schutz des Familienlebens. Gestützt darauf ist die Verwaltungsgerichtsbeschwerde des um die fremdenpolizeiliche Bewilligung ersuchenden Ausländers oder seiner hier anwesenden Verwandten zulässig, wenn diese über ein gefestigtes Anwesenheitsrecht (insbesondere Niederlassungsbewilligung) in der Schweiz verfügen und die familiäre Beziehung tatsächlich gelebt wird und intakt ist ( BGE 124 II 361 E. 1b S. 364, mit Hinweisen), was hier ausser Zweifel steht.</w:t>
      </w:r>
    </w:p>
    <w:p>
      <w:r>
        <w:rPr>
          <w:b/>
        </w:rPr>
        <w:t>E. 2</w:t>
      </w:r>
    </w:p>
    <w:p>
      <w:r>
        <w:t>a) Nach Art. 17 Abs. 2 letzter Satz ANAG erlischt der Anspruch des Ausländers auf Verlängerung seiner Aufenthaltsbewilligung, wenn er "gegen die öffentliche Ordnung verstossen hat". Die Voraussetzung für ein Erlöschen dieses Anspruchs ist damit weniger streng als für einen ausländischen Ehegatten eines Schweizers oder einer Schweizerin, bei dem gemäss Art. 7 Abs. 1 letzter Satz ANAG ein "Ausweisungsgrund" vorliegen muss und unter Beachtung der Kriterien von Art. 16 Abs. 3 der Vollziehungsverordnung vom 1. März 1949 zum Bundesgesetz über Aufenthalt und Niederlassung der Ausländer (ANAV; SR 142. 201) - Schwere des Verschuldens, Dauer der Anwesenheit, persönliche und familiäre Nachteile - eine Verhältnismässigkeitsprüfung nach Art. 11 Abs. 3 ANAG stattzufinden hat ( BGE 120 Ib 129 E. 4a). Zwar muss auch bei Art. 17 Abs. 2 ANAG die Verweigerung der Bewilligungsverlängerung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120 Ib 129 E. 4a mit Hinweisen auf nicht veröffentlichte Urteile). b)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ist. Bei der von der Konvention geforderten Abwägung zwischen den sich gegenüberstehenden privaten und öffentlichen Interessen ist unter anderem zu fragen, ob den nahen Familienangehörigen zugemutet werden kann, dem Ausländer, der keine Bewilligung erhält, ins Ausland zu folgen. Die Zumutbarkeit der Ausreise für nahe Familienangehörige eines Ausländers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 mit Hinweis).</w:t>
      </w:r>
    </w:p>
    <w:p>
      <w:r>
        <w:rPr>
          <w:b/>
        </w:rPr>
        <w:t>E. 3</w:t>
      </w:r>
    </w:p>
    <w:p>
      <w:r>
        <w:t>a) Mit seinen Straftaten hat der Ehemann der Beschwerdeführerin einen Ausweisungsgrund im Sinne von Art. 10 Abs. 1 lit. a ANAG gesetzt; umso mehr liegt ein Verstoss gegen die öffentliche Ordnung im Sinne von Art. 17 Abs. 2 ANAG vor. Die von ihm verübten Delikte wiegen nicht leicht. Die Menge der gehandelten Betäubungsmittel von - will man der Berechnungsweise der Beschwerdeführerin folgen - 11,7 g reinem Heroin liegt knapp an der Grenze zum schweren Fall. Damit hätte er, wäre er in der Schweiz verurteilt worden, zwar nicht eine Gefängnis- oder Zuchthausstrafe von mindestens einem Jahr zu erwarten gehabt, wie die Vorinstanz fälschlicherweise angenommen hat, sondern Gefängnis oder Busse ( Art. 19 Ziff. 1 des Bundesgesetzes vom 3. Oktober 1951 über die Betäubungsmittel und die psychotropen Stoffe [Betäubungsmittelgesetz, BetmG; SR 812. 121] ). Dabei ist keineswegs ausgeschlossen, dass auch ein schweizerisches Gericht hier eine bedingte Gefängnisstrafe von 18 Monaten ausgesprochen hätte; immerhin konnten dem Ehemann der Beschwerdeführerin 63 (Klein)verkäufe nachgewiesen werden. Die von der Beschwerdeführerin beigelegten Urteile des Bezirksgerichts Baden beweisen nicht das Gegenteil, zumal die näheren Umstände dieser Fälle nicht bekannt sind und die Praxis eines einzelnen Gerichts ohnehin nicht massgebend sein kann. Dazu kommt die Strafe wegen Körperverletzung, die im Ergebnis zu einer Ersatzfreiheitsstrafe von vier Monaten geführt hat, die der Ehemann der Beschwerdeführerin offenbar abgesessen hat. Es erübrigt sich, darüber zu spekulieren, ob und in welchem Masse diese Körperverletzungstatbestände von einem schweizerischen Gericht milder bestraft worden wären: unter dem Gesichtspunkt von Art. 17 Abs. 2 ANAG sind die vom Ehemann der Beschwerdeführerin begangenen Delikte jedenfalls als massiver Verstoss gegen die öffentliche Ordnung zu gewichten. Die Beschwerdeführerin kann sich insbesondere nicht auf die sogenannte Zweijahresregel berufen, ist diese doch zugeschnitten auf den Fall eines mit einer Schweizerin verheirateten Ausländers, wobei in jenem Fall der Schweizerin die Ausreise nach Marokko nicht zuzumuten war (Urteil Reneja, BGE 110 Ib 201 ff.; vgl. E. 2a oben). b) Die Beschwerdeführerin lebt, nach einigen Saisonaufenthalten, erst seit 1994 vollständig in der Schweiz; sie hat insbesondere die ihre Persönlichkeit prägende Jugend in Portugal verbracht. Im Fall einer Abweisung der Beschwerde wäre ihr eine Ausreise nach Portugal mit ihrem ebenfalls von dort stammenden Ehemann zumutbar, würde sie doch in einen ihr nicht fremden Kulturkreis zurückkehren. Ihr Ehemann lebt ebenfalls erst seit 1994 in der Schweiz und es kann nicht von einer besonderen Integration in die schweizerischen Verhältnisse gesprochen werden. Ob die häufigen Wechsel der Arbeitsstellen zusätzlich zu seinen Ungunsten zu werten sind, was die Beschwerdeführerin am angefochtenen Entscheid bemängelt, kann dabei offen bleiben; jedenfalls überwiegt im vorliegenden Fall das öffentliche Interesse an der Fernhaltung des Ausländers seine privaten Interessen und die seiner Ehefrau an einem Verbleib in der Schweiz deutlich. Der angefochtene Entscheid verletzt damit kein Bundesrecht.</w:t>
      </w:r>
    </w:p>
    <w:p>
      <w:r>
        <w:rPr>
          <w:b/>
        </w:rPr>
        <w:t>E. 4</w:t>
      </w:r>
    </w:p>
    <w:p>
      <w:r>
        <w:t>Die nach dem Gesagten unbegründete Beschwerde ist abzuweisen. Da sie sich als von vornherein aussichtslos erweist, ist das Gesuch um unentgeltliche Rechtspflege und Verbeiständung abzuweisen ( Art. 152 OG ). Bei diesem Ausgang des Verfahrens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