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2A.578/2005 vom 3. Februar 2006</w:t>
      </w:r>
    </w:p>
    <w:p>
      <w:r>
        <w:t>Bundesgericht, 2006-02-03, FR</w:t>
      </w:r>
    </w:p>
    <w:p>
      <w:r>
        <w:rPr>
          <w:b/>
        </w:rPr>
        <w:t xml:space="preserve">Quelle: </w:t>
      </w:r>
      <w:r>
        <w:t>https://mcp.opencaselaw.ch/entscheid/bger_2A.578_2005</w:t>
      </w:r>
    </w:p>
    <w:p>
      <w:r>
        <w:t>FR: TF 2A.578/2005 du 3 février 2006</w:t>
      </w:r>
    </w:p>
    <w:p>
      <w:r>
        <w:t>IT: TF 2A.578/2005 del 3 febbraio 2006</w:t>
      </w:r>
    </w:p>
    <w:p>
      <w:pPr>
        <w:pStyle w:val="Heading2"/>
      </w:pPr>
      <w:r>
        <w:t>Regeste</w:t>
      </w:r>
    </w:p>
    <w:p>
      <w:r>
        <w:t>exception aux mesures de limiation | Droit de cité et droit des étrangers</w:t>
      </w:r>
    </w:p>
    <w:p>
      <w:pPr>
        <w:pStyle w:val="Heading2"/>
      </w:pPr>
      <w:r>
        <w:t>Erwägungen</w:t>
      </w:r>
    </w:p>
    <w:p>
      <w:r>
        <w:rPr>
          <w:b/>
        </w:rPr>
        <w:t>E. 1</w:t>
      </w:r>
    </w:p>
    <w:p>
      <w:r>
        <w:t>Le Tribunal fédéral examine d'office et librement la recevabilité des recours qui lui sont soumis ( ATF 131 II 58 consid. 1 p. 60). La voie du recours de droit administratif étant en principe ouverte contre les décisions relatives à l'assujettissement aux mesures de limitation prévues par l'ordonnance du 6 octobre 1986 limitant le nombre des étrangers (OLE; RS 823.21; cf. ATF 122 II 403 consid. 1 p. 404/405) et les autres conditions formelles des art. 97 ss OJ étant remplies, le présent recours est recevable.</w:t>
      </w:r>
    </w:p>
    <w:p>
      <w:r>
        <w:rPr>
          <w:b/>
        </w:rPr>
        <w:t>E. 2</w:t>
      </w:r>
    </w:p>
    <w:p>
      <w:r>
        <w:t>Saisi d'un recours de droit administratif dirigé contre une décision qui n'émane pas d'une autorité judiciaire, le Tribunal fédéral revoit, le cas échéant d'office, les constatations de fait ( art. 104 lettre b et 105 al. 1 OJ ). Sur le plan juridique, il vérifie d'office l'application du droit fédéral qui englobe en particulier les droits constitutionnels des citoyens (cf. ATF 130 I 312 consid. 1.2 p. 318) - en examinant notamment s'il y a eu excès ou abus du pouvoir d'appréciation ( art. 104 lettre a OJ ) -, sans être lié par les motifs invoqués par les parties (art. 114 al. 1 in fine OJ). En revanche, il ne peut pas revoir l'opportunité de la décision attaquée, le droit fédéral ne prévoyant pas un tel examen dans ce domaine (art. 104 lettre c ch. 3 OJ). En matière de police des étrangers, lorsque la décision entreprise n'émane pas d'une autorité judiciaire, le Tribunal fédéral fonde en principe ses jugements, formellement et matériellement, sur l'état de fait et de droit existant au moment de sa propre décision ( ATF 124 II 361 consid. 2a p. 365; 122 II 1 consid. 1b p. 4).</w:t>
      </w:r>
    </w:p>
    <w:p>
      <w:r>
        <w:rPr>
          <w:b/>
        </w:rPr>
        <w:t>E. 3.1</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II découle de la formulation de l'art. 13 lettre f OLE que cette disposition dérogatoire présente un caractère exceptionnel et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et la jurisprudence citée). Lorsqu'une famille demande de pouvoir être exemptée des mesures de limitation au sens de l'art. 13 lettre f OLE,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Ainsi, le problème des enfants est un aspect, certes important, de la situation de la famille, mais ce n'est pas le seul critère. Il y a donc lieu de porter une appréciation d'ensemble, tenant compte de tous les membres de la famille (durée du séjour, intégration professionnelle pour les parents et scolaire pour les enfants, notamment; cf. ATF 123 II 125 consid. 4a p. 129).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p. 128 ss; Alain Wurzburger, La jurisprudence récente du Tribunal fédéral en matière de police des étrangers, in RDAF 1997 I 267 ss, p. 297/298). 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 ATF 130 II 39 consid. 3 p. 42).</w:t>
      </w:r>
    </w:p>
    <w:p>
      <w:r>
        <w:rPr>
          <w:b/>
        </w:rPr>
        <w:t>E. 3.2</w:t>
      </w:r>
    </w:p>
    <w:p>
      <w:r>
        <w:t>Dans le cas particulier, A.X.________ peut incontestablement se prévaloir d'une bonne intégration socio-professionnelle qui, cependant, n'est pas exceptionnelle au point de justifier à elle seule une exemption des mesures de limitation. Devant l'autorité intimée, A.X.________ a exprimé les craintes qu'elle éprouvait en relation avec la toxicomanie et le caractère violent de son mari; cependant, ces craintes, si compréhensibles et légitimes soient-elles, ne sauraient avoir d'incidence sur le sort de la présente procédure, car il n'est pas question de renvoyer A.X.________ en Macédoine. Certes, devant le Département fédéral, A.X.________ disait appréhender qu'en cas de renvoi en Slovaquie, son mari ne l'y rejoigne en excipant du lien conjugal subsistant avec une ressortissante slovaque et elle démontrait par pièce avoir vainement tenté d'obtenir un divorce dans son pays d'origine; cependant, aucun élément concret n'est venu étayer une telle crainte, de sorte que cette menace semble plutôt théorique et lointaine. Au demeurant, on ne voit pas pourquoi A.X.________ n'a pas ouvert action en divorce en Suisse. Par ailleurs, il apparaît invraisemblable que A.X.________ ait perdu tout contact avec les réalités de la Slovaquie, où elle a passé les vingt-quatre premières années de son existence; du reste, les correspondances, figurant au dossier, que lui ont adressées son père et son frère attestent certes qu'en cas de retour dans son patrie, elle ne pourrait escompter aucun soutien matériel de l'un ou de l'autre, mais ne confirment nullement, par leur ton, l'existence d'une rupture. En outre, on ne voit pas pourquoi A.X.________ ne pourrait pas s'assumer économiquement dans sa patrie, comme en Suisse, aidée le cas échéant par sa fille qui, d'ici quelques années, aura acquis son autonomie financière. Il ne saurait donc être question d'un cas personnel d'extrême gravité en ce qui concerne A.X.________. La situation de Y.________ est plus délicate. Certes, il n'est pas davantage question, en ce qui la concerne, d'un renvoi en Macédoine auprès de son père. Quoi qu'en disent les recourantes, il est invraisemblable que, jusqu'à l'âge de sept ans, Y.________ n'ait fait l'objet en Slovaquie d'aucune scolarisation quelconque et il est encore plus invraisemblable qu'elle n'ait "strictement aucune connaissance" de la langue écrite de ce pays. En revanche, il est avéré que Y.________ a subi un double traumatisme; d'une part, elle dû quitter la Slovaquie pour aller vivre en Macédoine dans un contexte familial extrêmement conflictuel qui a débouché sur l'éclatement du couple de ses parents; d'autre part, dans les trois ans qui ont suivi son arrivée en Macédoine, elle a été séparée de sa mère - qui avait fui en Suisse - et a dû vivre chez ses grands-parents paternels dans des conditions psychiquement très dures. Ce n'est donc que depuis son arrivée en Suisse, en 2001, qu'elle a pu retrouver équilibre et stabilité; or, cette stabilisation méritoire risquerait d'être compromise par un nouveau changement de milieu. En outre, c'est en Suisse, où elle est arrivée à environ onze ans et demi que Y.________ a vécu les années décisives de son adolescence. De plus, elle a réussi à se faire très rapidement à son nouvel environnement scolaire et ses excellents résultats témoignent à cet égard d'une très bonne intégration. Il se justifie donc d'admettre en ce qui la concerne qu'un renvoi dans son pays d'origine constituerait un nouveau déracinement qui, dans cette situation particulière, ne peut raisonnablement lui être imposé et que, partant, elle réalise en elle-même un cas personnel d'extrême gravité. Enfin, il ne saurait être question, dans ces conditions, d'imposer à Y.________ une nouvelle séparation d'avec sa mère, de sorte que celle-ci doit, elle aussi, être mise au bénéfice d'une exemption des mesures de limitation.</w:t>
      </w:r>
    </w:p>
    <w:p>
      <w:r>
        <w:rPr>
          <w:b/>
        </w:rPr>
        <w:t>E. 4</w:t>
      </w:r>
    </w:p>
    <w:p>
      <w:r>
        <w:t>Vu ce qui précède, le recours doit être admis et la décision attaquée annulée. Il y a lieu de constater que les recourantes sont exemptées des mesures de limitation au sens de l'art. 13 lettre f OLE. Bien qu'elle succombe, la Confédération, dont l'intérêt pécuniaire n'est pas en cause, n'a pas à supporter de frais judiciaires ( art. 156 al. 2 OJ ). Obtenant gain de cause, les recourantes, qui sont assistées d'un homme de loi, ont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