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2A.573/2005 vom 6. Februar 2006</w:t>
      </w:r>
    </w:p>
    <w:p>
      <w:r>
        <w:t>Bundesgericht, 2006-02-06, FR</w:t>
      </w:r>
    </w:p>
    <w:p>
      <w:r>
        <w:rPr>
          <w:b/>
        </w:rPr>
        <w:t xml:space="preserve">Quelle: </w:t>
      </w:r>
      <w:r>
        <w:t>https://mcp.opencaselaw.ch/entscheid/bger_2A.573_2005</w:t>
      </w:r>
    </w:p>
    <w:p>
      <w:r>
        <w:t>FR: TF 2A.573/2005 du 6 février 2006</w:t>
      </w:r>
    </w:p>
    <w:p>
      <w:r>
        <w:t>IT: TF 2A.573/2005 del 6 febbraio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librement la recevabilité des recours qui lui sont soumis ( ATF 131 II 58 consid. 1 p. 60). La voie du recours de droit administratif étant en principe ouverte contre les décisions relatives à l'assujettissement aux mesures de limitation prévues par l'ordonnance limitant le nombre des étrangers (cf. ATF 122 II 403 consid. 1 p. 404/405) et les autres conditions formelles des art. 97 ss OJ étant remplies, le présent recours est recevable.</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(cf. ATF 130 I 312 consid. 1.2 p. 318)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Lorsqu'une famille demande de pouvoir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p. 129).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Alain Wurzburger, La jurisprudence récente du Tribunal fédéral en matière de police des étrangers, in RDAF 1997 I 267 ss, p. 297/298).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w:t>
      </w:r>
    </w:p>
    <w:p>
      <w:r>
        <w:rPr>
          <w:b/>
        </w:rPr>
        <w:t>E. 3.2</w:t>
      </w:r>
    </w:p>
    <w:p>
      <w:r>
        <w:t>Dans le cas particulier, la famille recourante a résidé légalement en Suisse de juillet 1994 à avril 1997 puis, au bénéfice d'une tolérance, dès décembre 2002. La durée du séjour régulier des intéressés dans ce pays n'est donc pas particulièrement longue. Hormis le fait de séjourner et de travailler sans autorisation entre avril 1997 et décembre 2002, le comportement des recourants n'a pas donné lieu à des plaintes; en particulier, les intéressés n'ont aucunement enfreint la loi pénale ni émargé à l'aide sociale. Ils ont accompli de louables efforts d'intégration, ont manifestement réussi à gagner la sympathie de leur entourage et sont même parvenus à sensibiliser à leur cause un très grand nombre de personnes. Mais on ne saurait considérer pour autant que les recourants se sont de la sorte créé des liens si étroits avec la Suisse qu'ils ne pourraient envisager de retourner dans leur pays d'origine, dans lequel A.X.________ et sa femme ont vécu les trente-trois, respectivement vingt-six, premières années de leur existence et où ils ont encore l'essentiel de leur proche famille. Les époux X.________ ne peuvent pas non plus faire état d'une ascension professionnelle hors du commun - ils étaient au contraire manifestement surqualifiés pour les emplois qu'ils ont effectivement occupés en Suisse - ni d'acquis dont ils ne pourraient plus tirer parti en cas de retour dans leur pays d'origine. Quant à l'enfant Y.________, il n'a pas encore atteint l'âge décisif de l'adolescence; il est certes vrai que, né en Suisse, il ne connaît pratiquement pas son pays d'origine; le Département fédéral retient qu'il maîtrise cependant la langue espagnole et les recourants le contestent en vain: il résulte en effet d'une pièce produite par leurs soins que l'enfant Y.________ suit le catéchisme et la formation chrétienne auprès de la Mission catholique de langue espagnole à Lausanne; on peut dès lors admettre qu'un départ à destination de son pays d'origine ne constituerait pas pour lui un déracinement tel qu'il ne saurait lui être raisonnablement imposé. Enfin, les recourants se plaignent à tort de ce que l'enfant Y.________ n'ait pas été entendu en cours de procédure; il convient de rappeler tout d'abord que l'art. 12 al. 2 de la Convention prévoit lui-même que l'enfant peut être entendu soit directement, soit par l'intermédiaire d'un représentant (ou d'un organisme approprié); ce second mode paraît particulièrement adéquat lorsqu'il s'agit, comme ici, d'une procédure qui est essentiellement écrite et où tout porte à penser que - contrairement à ce qui peut se produire, par exemple, dans une procédure de divorce ou de séparation - les intérêts des deux parents et ceux de l'enfant coïncident parfaitement; lorsque, de surcroît, la procédure démontre que les parents ont suffisamment fait valoir les intérêts propres à leur enfant, ce qui est manifestement le cas en l'espèce, on ne voit pas ce qu'une audition directe de ce dernier pourrait apporter de plus. C'est donc à juste titre que le Département fédéral a confirmé le refus d'exception aux mesures de limitation litigieux. Ce faisant, il n'a pas constaté les faits pertinents de façon inexacte ou incomplète ni violé le droit fédéral; en particulier, il a respecté l'art. 12 de la Convention.</w:t>
      </w:r>
    </w:p>
    <w:p>
      <w:r>
        <w:rPr>
          <w:b/>
        </w:rPr>
        <w:t>E. 4</w:t>
      </w:r>
    </w:p>
    <w:p>
      <w:r>
        <w:t>Vu ce qui précède, le recours doit être rejeté.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