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2A.572/2003 vom 25. Oktober 2004</w:t>
      </w:r>
    </w:p>
    <w:p>
      <w:r>
        <w:t>Bundesgericht, 2004-10-25, DE</w:t>
      </w:r>
    </w:p>
    <w:p>
      <w:r>
        <w:rPr>
          <w:b/>
        </w:rPr>
        <w:t xml:space="preserve">Quelle: </w:t>
      </w:r>
      <w:r>
        <w:t>https://mcp.opencaselaw.ch/entscheid/bger_2A.572_2003</w:t>
      </w:r>
    </w:p>
    <w:p>
      <w:r>
        <w:t>FR: TF 2A.572/2003 du 25 octobre 2004</w:t>
      </w:r>
    </w:p>
    <w:p>
      <w:r>
        <w:t>IT: TF 2A.572/2003 del 25 ottobre 2004</w:t>
      </w:r>
    </w:p>
    <w:p>
      <w:pPr>
        <w:pStyle w:val="Heading2"/>
      </w:pPr>
      <w:r>
        <w:t>Erwägungen</w:t>
      </w:r>
    </w:p>
    <w:p>
      <w:r>
        <w:rPr>
          <w:b/>
        </w:rPr>
        <w:t>E. 1.1</w:t>
      </w:r>
    </w:p>
    <w:p>
      <w:r>
        <w:t>Gemäss Art. 43 Abs. 1 des Bundesgesetzes vom 13. Oktober 1965 über die Verrechnungssteuer (VStG; SR 642.21) in Verbindung mit Art. 97 ff. OG unterliegt der angefochtene Entscheid der Eidgenössischen Steuerrekurskommission der Verwaltungsgerichtsbeschwerde. Die Beschwerdeführerin, die mit ihrem Antrag auf Rückerstattung der Verrechnungssteuer unterlag, ist zur Beschwerde legitimiert ( Art. 103 lit. a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w:t>
      </w:r>
    </w:p>
    <w:p>
      <w:r>
        <w:t>Die Beschwerdeführerin beantragt vorab, im vorliegenden Verfahren sei eine "öffentliche Hauptverhandlung im Sinne von Art. 6 Ziff. 1 EMRK " durchzuführen.</w:t>
      </w:r>
    </w:p>
    <w:p>
      <w:r>
        <w:t>Nach der ständigen Rechtsprechung des Bundesgerichts findet Art. 6 Ziff. 1 EMRK auf Steuerverfahren keine Anwendung (vgl. Urteil 2P.41/2002 vom 10. Juni 2003, E. 5.1, mit Hinweis auf die Rechtsprechung des Europäischen Gerichtshofs für Menschenrechte).</w:t>
      </w:r>
    </w:p>
    <w:p>
      <w:r>
        <w:t>Ferner gilt, dass gemäss Art. 17 Abs. 2 OG in Steuersachen nur die Parteien und ihre Vertreter zu den Verhandlungen ( Art. 112 OG ), Beratungen und Abstimmungen zugelassen sind. Im Übrigen kann das Gericht auf dem Weg der Aktenzirkulation entscheiden, wenn sich Einstimmigkeit ergibt und kein Richter mündliche Beratung verlangt ( Art. 36b OG ). Dem Antrag der Beschwerdeführerin auf Durchführung einer öffentlichen Verhandlung ist daher nicht zu entsprechen.</w:t>
      </w:r>
    </w:p>
    <w:p>
      <w:r>
        <w:rPr>
          <w:b/>
        </w:rPr>
        <w:t>E. 3.1</w:t>
      </w:r>
    </w:p>
    <w:p>
      <w:r>
        <w:t>Der Bund erhebt unter anderem auf dem Ertrag beweglichen Kapitalvermögens eine Verrechnungssteuer ( Art. 1 Abs. 1 VStG ). Steuerpflichtig ist der Schuldner der steuerbaren Leistung ( Art. 10 Abs. 1 VStG ). Diese ist bei der Auszahlung, Überweisung, Gutschrift oder Verrechnung ohne Rücksicht auf die Person des Gläubigers um den Steuerbetrag zu kürzen ( Art. 14 Abs. 1 VStG ). Die Verrechnungssteuer wird dem Empfänger der um die Steuer gekürzten Leistung nach Massgabe des Gesetzes zurückerstattet ( Art. 1 Abs. 2 VStG ). Eine Rückerstattung ist in allen Fällen unzulässig, in denen sie zu einer Steuerumgehung führen würde ( Art. 21 Abs. 2 VStG ).</w:t>
      </w:r>
    </w:p>
    <w:p>
      <w:r>
        <w:t>Die Rückerstattung der Verrechnungssteuer an eine juristische Person setzt voraus, dass diese bei Fälligkeit der steuerbaren Leistung ihren Sitz im Inland hatte ( Art. 24 Abs. 2 VStG ) und das Recht zur Nutzung des den steuerbaren Ertrag abwerfenden Vermögenswertes besass ( Art. 21 Abs. 1 lit. a VStG ). Der Anspruch auf Rückerstattung erlischt, wenn der Antrag nicht innert drei Jahren nach Ablauf des Kalenderjahres, in dem die steuerbare Leistung fällig geworden ist, gestellt wird ( Art. 32 Abs. 1 VStG ). Juristische Personen, Handelsgesellschaften ohne juristische Persönlichkeit und ausländische Unternehmen mit inländischer Betriebsstätte, welche die mit der Verrechnungssteuer belasteten Einkünfte nicht ordnungsgemäss verbuchen, verwirken den Anspruch auf Rückerstattung der von diesen Einkünften abgezogenen Verrechnungssteuer ( Art. 25 Abs. 1 VStG ). Eine Sonderregelung gilt für Anlagefonds und Vermögen ähnlicher Art (d.h. Vermögensmassen ohne Rechtspersönlichkeit [vgl. W. Robert Pfund/Bernhard Zwahlen, Die Eidgenössische Verrechnungssteuer, II. Teil, Basel 1985, Rz. 1 zu Art. 26 VStG ]). Hier hat die Fondsleitung oder Depotbank, welche die Verrechnungssteuer auf den Erträgen von Anteilen an einem Anlagefonds entrichtet, für Rechnung des Fonds Anspruch auf Rückerstattung der zu seinen Lasten abgezogenen Verrechnungssteuer; Artikel 25 findet sinngemässe Anwendung ( Art. 26 VStG ).</w:t>
      </w:r>
    </w:p>
    <w:p>
      <w:r>
        <w:rPr>
          <w:b/>
        </w:rPr>
        <w:t>E. 3.2</w:t>
      </w:r>
    </w:p>
    <w:p>
      <w:r>
        <w:t>Vorliegend hat die Eidgenössische Steuerverwaltung entschieden, der X.________ AG in Liquidation stehe im Sinne von Art. 21 Abs. 1 lit. a VStG das Recht zur Nutzung in Bezug auf die bei der Luzerner Kantonalbank im Jahre 2001 getätigten Geldanlage nicht zu. Die Eidgenössische Steuerrekurskommission hat diesen Entscheid geschützt und im Wesentlichen erwogen, aus der Sachverhaltsdarstellung durch die Beschwerdeführerin selber folge ohne Weiteres, dass die Fr. X'XXX'XXX.-- auf ein auf die A.________ lautendes Konto bei der Luzerner Kantonalbank überwiesen worden seien. Bereits daraus ergebe sich, dass Nutzungsberechtigte des fraglichen Guthabens die A.________ gewesen sei. Massgebend sei nicht, woher die fraglichen Mittel stammten, sondern einzig, dass die A.________ gegenüber der Luzerner Kantonalbank ein Kundenguthaben besessen habe, dessen Zinsertrag der Verrechnungssteuer unterliege.</w:t>
      </w:r>
    </w:p>
    <w:p>
      <w:r>
        <w:rPr>
          <w:b/>
        </w:rPr>
        <w:t>E. 3.3</w:t>
      </w:r>
    </w:p>
    <w:p>
      <w:r>
        <w:t>Die Beschwerdeführerin wendet ein, die Eidgenössische Steuerrekurskommission habe den Sachverhalt sowohl offensichtlich unrichtig als auch unvollständig festgestellt. Die konsequente Negierung des Umstandes, dass die X.________ AG seit dem Jahre 1969 die Stellung eines "Garantors" der A.________ gegenüber der Eidgenössischen Steuerverwaltung einnehme, habe dazu geführt, dass die Rekurskommission den Rückforderungsanspruch "nur unter dem eingeschränkten Rechtsanspruch von Art. 21 Abs. 1 Bst. a VStG geprüft" habe. Eine Prüfung des Rückforderungsanspruchs "gemäss Art. 26 VStG i.V. m. Art. 10 VStG " sei mit dem zugrunde gelegten Sachverhalt "gar nicht möglich". Die X.________ AG habe sich bereits im Jahre 1969 mit der A.________ zur Ausgabe von Aktien vertraglich zusammengeschlossen und sei ihren steuerrechtlichen Pflichten, nämlich der unaufgeforderten Anmeldung bei der Eidgenössischen Steuerverwaltung, nachgekommen. Die Anmeldung als "verbundener Inländer" habe damals praxisüblich sowohl für die Verrechnungs- wie auch für die Stempelsteuer gegolten. Die Eidgenössische Steuerverwaltung selber habe 1970 die heutige Beschwerdeführerin zur Bezahlung der Umsatzabgabe aus der Aktienemission der A.________ ins Recht gefasst (was vom Bundesgericht geschützt worden sei); sie verhalte sich heute widersprüchlich, wenn sie die Rückerstattung der Verrechnungssteuer verweigere.</w:t>
      </w:r>
    </w:p>
    <w:p>
      <w:r>
        <w:t>Sodann macht die Beschwerdeführerin geltend, die Vorinstanz habe Art. 21 Abs. 1 lit. a VStG falsch angewendet. Die Nichtanwendung von Art. 26 VStG verletze schliesslich ebenfalls Bundesrecht.</w:t>
      </w:r>
    </w:p>
    <w:p>
      <w:r>
        <w:rPr>
          <w:b/>
        </w:rPr>
        <w:t>E. 3.4</w:t>
      </w:r>
    </w:p>
    <w:p>
      <w:r>
        <w:t>Die Rüge, die Eidgenössische Steuerrekurskommission habe den Sachverhalt offensichtlich unrichtig bzw. unvollständig festgestellt, ist unbegründet. Die Rekurskommission hat den Einwand der Beschwerdeführerin, sie nehme die Stellung eines "Garantors" der A.________ ein, nicht übersehen, sondern erwogen, darauf komme es nicht an (das Nutzungsrecht fehle der X.________ AG in Liquidation "ungeachtet ihrer wie auch immer gestalteten Rechtsbeziehung zur A.________ (Bermuda) Ltd", S. 11 des angefochtenen Entscheides). Diese Feststellung betrifft nicht eine Frage des Sachverhalts, sondern der rechtlichen Würdigung.</w:t>
      </w:r>
    </w:p>
    <w:p>
      <w:r>
        <w:t>Der Einwand, die Vorinstanz habe ihrem Entscheid einen Sachverhalt zugrunde gelegt, der eine Prüfung des Rückforderungsanspruches gestützt auf Art. 26 VStG (Anlagefonds) verunmöglicht habe, vermag - wie noch zu zeigen sein wird (E. 3.6) - ebenfalls nicht durchzudringen.</w:t>
      </w:r>
    </w:p>
    <w:p>
      <w:r>
        <w:rPr>
          <w:b/>
        </w:rPr>
        <w:t>E. 3.5</w:t>
      </w:r>
    </w:p>
    <w:p>
      <w:r>
        <w:t>Unbegründet erscheint die Rüge, die Eidgenössische Steuerrekurskommission habe Art. 21 Abs. 1 lit. a VStG falsch angewendet:</w:t>
      </w:r>
    </w:p>
    <w:p>
      <w:r>
        <w:rPr>
          <w:b/>
        </w:rPr>
        <w:t>E. 3.5.1</w:t>
      </w:r>
    </w:p>
    <w:p>
      <w:r>
        <w:t>Wie die Steuerrekurskommission zutreffend erwogen hat, handelte es sich beim vorliegend der Verrechnungssteuer unterworfenen Ertrag um den Zinsertrag aus dem auf den Namen der A.________ in Euro angelegten Kundenguthaben bei der Luzerner Kantonalbank. Dieser Ertrag unterliegt als Kapitalertrag gemäss Art. 4 Abs. 1 lit. d VStG der Verrechnungssteuer. Anspruch auf deren Rückerstattung hat nur, wer bei Fälligkeit der steuerbaren Leistung das Recht zur Nutzung des den steuerbaren Ertrag abwerfenden Vermögenswertes besass ( Art. 21 Abs. 1 lit. a VStG , vgl. E. 3.1).</w:t>
      </w:r>
    </w:p>
    <w:p>
      <w:r>
        <w:rPr>
          <w:b/>
        </w:rPr>
        <w:t>E. 3.5.2</w:t>
      </w:r>
    </w:p>
    <w:p>
      <w:r>
        <w:t>Ein Recht zur Nutzung gemäss Art. 21 Abs. 1 lit. a VStG besteht nur für denjenigen, der an den betreffenden Vermögenswerten effektiv nutzungsberechtigt ist, d.h. den Nettoertrag bezieht und behalten kann. Das Recht zur Nutzung ist nicht nur dann zu verneinen, wenn eine Rechtspflicht zur Weiterleitung der Nettoerträge besteht, sondern auch dann, wenn der Empfänger zwar keiner formellen Verpflichtung zur Weiterleitung unterliegt, sich aber aus der Gesamtheit der Umstände schliessen lässt, dass ihm der Kapitalertrag nicht verbleibt (Urteil 2A.361/1991 vom 18. Mai 1993, E. 4b und c mit Hinweisen, publiziert in: ASA 62 S. 705).</w:t>
      </w:r>
    </w:p>
    <w:p>
      <w:r>
        <w:rPr>
          <w:b/>
        </w:rPr>
        <w:t>E. 3.5.3</w:t>
      </w:r>
    </w:p>
    <w:p>
      <w:r>
        <w:t>Die Beschwerdeführerin hat von Anfang an geltend gemacht, sie habe die Verrechnungssteuer zurückgefordert, um sie den "berechtigten Aktionären zu überweisen" (Schreiben vom 5. Juni 2002). Auch im Verfahren vor Bundesgericht trägt sie vor, sie sei "zur sofortigen Weiterleitung gemäss dem rechtlichen Innenverhältnis verpflichtet" (Beschwerde S. 15). Der Beschwerdeführerin fehlt damit nicht nur formell die Nutzungsbefugnis, sondern ihre Vorbringen lassen zudem darauf schliessen, der Kapitalertrag würde ihr nicht verbleiben. Der Beschwerdeführerin steht damit, wie die Vorinstanz zutreffend angenommen hat, das Recht zur Nutzung des den steuerbaren Ertrag abwerfenden Vermögenswertes nicht zu. Eine unrichtige Anwendung von Art. 21 Abs. 1 lit. a VStG liegt nicht vor.</w:t>
      </w:r>
    </w:p>
    <w:p>
      <w:r>
        <w:rPr>
          <w:b/>
        </w:rPr>
        <w:t>E. 3.6</w:t>
      </w:r>
    </w:p>
    <w:p>
      <w:r>
        <w:t>Schliesslich kann dahingestellt bleiben, ob im vorliegenden Fall - wie von der Beschwerdeführerin geltend gemacht - die spezielle Rückerstattungsregel für Anlagefonds bzw. Vermögen ähnlicher Art ( Art. 26 VStG , vgl. E. 3.1, am Ende) zur Anwendung kommen könnte:</w:t>
      </w:r>
    </w:p>
    <w:p>
      <w:r>
        <w:rPr>
          <w:b/>
        </w:rPr>
        <w:t>E. 3.6.1</w:t>
      </w:r>
    </w:p>
    <w:p>
      <w:r>
        <w:t>Die Beschwerdeführerin befindet sich seit 1998 in Liquidation. In diesem Zustand behält sie die juristische Persönlichkeit ( Art. 739 Abs. 1 OR ) und bleibt im Handelsregister eingetragen (vgl. Art. 746 OR ). Damit ist sie auch buchführungspflichtig ( Art. 957 OR ). Dauert die Liquidation länger, hat der Liquidator bzw. haben die Liquidatoren jährliche Zwischenbilanzen aufzustellen ( Art. 743 Abs. 5 OR ).</w:t>
      </w:r>
    </w:p>
    <w:p>
      <w:r>
        <w:rPr>
          <w:b/>
        </w:rPr>
        <w:t>E. 3.6.2</w:t>
      </w:r>
    </w:p>
    <w:p>
      <w:r>
        <w:t>Die streitige Rückforderung betrifft das Jahr 2001. Wie bereits die Eidgenössische Steuerverwaltung zutreffend festgestellt hat, konnte die Beschwerdeführerin für dieses Jahr keine Bilanz (mehr) vorlegen (vgl. Schreiben des Liquidators vom 5. Juni 2002). Sie räumt aber selber ein (vgl. S. 11 der Beschwerdeschrift), dass sie "bis zum heutigen Zeitpunkt nicht aufgelöst" und deswegen "immer noch Trägerin der entsprechenden Steuerpflichten und - rechte" sei. Zu diesen Pflichten hätte auch gehört, dass sie - wenn sie einen Rückerstattungsanspruch gestützt auf Art. 26 VStG geltend machen wollte - die mit der Verrechnungssteuer belasteten Einkünfte ordnungsgemäss als Ertrag verbuchte. Wer dies unterlässt, verwirkt den Anspruch auf Rückerstattung (Art. 25 in Verbindung mit Art. 26 VStG ). Davon, dass die so genannte Verbuchungsklausel von Art. 25 VStG bei Anlagefonds und Vermögen ähnlicher Art ( Art. 26 VStG ) keine Anwendung fände, wie dies die Beschwerdeführerin behauptet, kann nicht die Rede sein (vgl. W. Robert Pfund/Bernhard Zwahlen, a.a.O., Rz. 2 zu Art. 25 VStG ). Damit fällt ein Rückerstattungsanspruch der Beschwerdeführerin auch unter diesem Gesichtswinkel ausser Betracht. Ihr Hinweis auf die Umstände der seinerzeitigen Erhebung der Stempelabgaben vermag an dieser Rechtslage nichts zu ändern.</w:t>
      </w:r>
    </w:p>
    <w:p>
      <w:r>
        <w:rPr>
          <w:b/>
        </w:rPr>
        <w:t>E. 4</w:t>
      </w:r>
    </w:p>
    <w:p>
      <w:r>
        <w:t>Dies führt zur Abweisung der Verwaltungsgerichtsbeschwerde.</w:t>
      </w:r>
    </w:p>
    <w:p>
      <w:r>
        <w:t>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