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2A.566/2001 vom 15. April 2002</w:t>
      </w:r>
    </w:p>
    <w:p>
      <w:r>
        <w:t>Bundesgericht, 2002-04-15, DE</w:t>
      </w:r>
    </w:p>
    <w:p>
      <w:r>
        <w:rPr>
          <w:b/>
        </w:rPr>
        <w:t xml:space="preserve">Quelle: </w:t>
      </w:r>
      <w:r>
        <w:t>https://mcp.opencaselaw.ch/entscheid/bger_2A.566_2001</w:t>
      </w:r>
    </w:p>
    <w:p>
      <w:r>
        <w:t>FR: TF 2A.566/2001 du 15 avril 2002</w:t>
      </w:r>
    </w:p>
    <w:p>
      <w:r>
        <w:t>IT: TF 2A.566/2001 del 15 aprile 2002</w:t>
      </w:r>
    </w:p>
    <w:p>
      <w:pPr>
        <w:pStyle w:val="Heading2"/>
      </w:pPr>
      <w:r>
        <w:t>Regeste</w:t>
      </w:r>
    </w:p>
    <w:p>
      <w:r>
        <w:t>Wirtschaft</w:t>
      </w:r>
    </w:p>
    <w:p>
      <w:pPr>
        <w:pStyle w:val="Heading2"/>
      </w:pPr>
      <w:r>
        <w:t>Erwägungen</w:t>
      </w:r>
    </w:p>
    <w:p>
      <w:r>
        <w:rPr>
          <w:b/>
        </w:rPr>
        <w:t>E. 1.1</w:t>
      </w:r>
    </w:p>
    <w:p>
      <w:r>
        <w:t>Die Verwaltungsgerichtsbeschwerde richtet sich gegen eine auf öffentliches Recht des Bundes gestützte Verfügung im Sinne von Art. 5 VwVG , die von einer eidgenössischen Rekurskommission als Vorinstanz nach Art. 98 lit. e OG erlassen wurde. Ein Ausschlussgrund gemäss Art. 99 - 102 OG liegt nicht vor. Die Verwaltungsgerichtsbeschwerde ist damit zulässig. Das Eidgenössische Volkswirtschaftsdepartement ist hierzu legitimiert ( Art. 103 lit. b OG , vgl. zum Beschwerderecht der Bundesbehörden BGE 125 II 633 E. 1a S. 635, mit Hinweisen). Auf die Beschwerde ist daher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117 Ib 114 E. 4a S. 117, mit Hinweisen).</w:t>
      </w:r>
    </w:p>
    <w:p>
      <w:r>
        <w:rPr>
          <w:b/>
        </w:rPr>
        <w:t>E. 2</w:t>
      </w:r>
    </w:p>
    <w:p>
      <w:r>
        <w:t>Das Bundesgericht hat in seinem Urteil 2A.532/2000 vom 12. März 2001 u.a. (vgl. auch oben "C.") erkannt, die Versteigerung von Zollkontingenten gemäss Art. 16 ff. AEV folge - analog dem Steigerungskauf ( Art. 229 ff. OR ) - einem bestimmten vereinfachenden und beschleunigenden Mechanismus, der durch sich überbietende Angebote (Offerten) und den Zuschlag charakterisiert werde. Für die Irrtumsanfechtung eines Zuschlags bleibe daher wenig Raum. Die Bindung des Bieters an die Versteigerungsbedingungen setze aber immerhin voraus, dass alle Essentialia des Geschäfts objektiv feststehen müssten und nur die Bestimmung des Preises offen sei. Sodann dürfe es nicht an der nach den Umständen gebotenen Aufklärung des Publikums fehlen; eine Unterlassung könne zur Aufhebung des Zuschlages wegen Willensmangels führen (erwähntes Urteil, E. 2d).</w:t>
      </w:r>
    </w:p>
    <w:p>
      <w:r>
        <w:rPr>
          <w:b/>
        </w:rPr>
        <w:t>E. 3.1</w:t>
      </w:r>
    </w:p>
    <w:p>
      <w:r>
        <w:t>Die Ausschreibungsbekanntmachung Nr. 2/2001 des Bundesamtes für Landwirtschaft unterscheidet sich in zwei wesentlichen Punkten von der vom Bundesgericht beanstandeten Nr. 1/2000. Erstens enthält sie in Ziff. 5 den folgenden ausdrücklichen Hinweis: "Bei Einreichung von mehreren Steigerungsgeboten werden diese zusammengezählt, falls sie für die Zuteilung ganz oder teilweise berücksichtigt werden können". Zweitens ist in Ziff. 6 ein "Beispiel für ein Steigerungsgebot mit anschliessender Zuteilung" aufgeführt, woraus unmissverständlich hervorgeht, dass mehrere Angebote einer bietenden Person bis zum tiefsten noch berücksichtigbaren Preisniveau zusammengezählt werden. Wie auch die Rekurskommission anerkennt (S. 6 des angefochtenen Entscheides), geht aus den Erläuterungen zur Versteigerung nunmehr hinreichend klar hervor, dass die Angebote, soweit dafür Raum besteht, kumulativ berücksichtigt werden. Die "Aufklärung des Publikums" (vgl. E. 2) ist damit ausreichend. Soweit der Beschwerdegegnerin als Nichthändlerin das Verfahren nicht klar war, hätte sie sich bei den angegebenen Auskunftspersonen ohne besonderen Aufwand telefonisch erkundigen können. Der seitens der Beschwerdegegnerin geltend gemachte (und an sich glaubhafte) Irrtum war insofern nicht entschuldbar. Sie war alsdann nach Massgabe der Versteigerungsbedingungen an ihr Angebot gebunden ( Art. 17 Abs. 3 AEV ).</w:t>
      </w:r>
    </w:p>
    <w:p>
      <w:r>
        <w:rPr>
          <w:b/>
        </w:rPr>
        <w:t>E. 3.2</w:t>
      </w:r>
    </w:p>
    <w:p>
      <w:r>
        <w:t>Die Rekurskommission erwog demgegenüber, zwar könne dem Bundesamt nicht mehr vorgeworfen werden, seine Ausschreibungsbekanntmachungen seien missverständlich oder gar irreführend. Indessen habe das Bundesamt nicht einfach blind darauf vertrauen dürfen, dass sich nach den beiden einschlägigen Fällen des vergangenen Jahres keine weiteren Missverständnisse mehr ereignen würden. Vorliegend hätte bereits die Formulierung des Steigerungsgebotes den Verdacht des Bundesamtes erwecken müssen, dass die Anbieterin das Steigerungsverfahren nicht richtig verstanden habe. Angesichts aller Umstände sei für das Bundesamt ohne weiteres erkennbar gewesen, dass der Anbieterin ein wesentlicher Irrtum unterlaufen sei. Weil diese trotzdem auf ihrem Steigerungsgebot behaftet worden sei, habe das Bundesamt gegen das Gebot von Treu und Glauben verstossen (S. 8 des angefochtenen Entscheides). Mithin geht die Rekurskommission davon aus, dass auch ein auf einem nicht entschuldbaren Irrtum beruhendes Angebot nicht als bindend betrachtet werden dürfe, wenn das Vorliegen eines wesentlichen Irrtums für die Behörde ohne weiteres erkennbar ist.</w:t>
      </w:r>
    </w:p>
    <w:p>
      <w:r>
        <w:rPr>
          <w:b/>
        </w:rPr>
        <w:t>E. 3.3</w:t>
      </w:r>
    </w:p>
    <w:p>
      <w:r>
        <w:t>Wieweit die Behörde bei der Versteigerung von Zollkontingentsanteilen verpflichtet ist, die Plausibilität von Angeboten zu überprüfen, und wieweit es gegen den Grundsatz von Treu und Glauben verstossen kann, einen Anbieter auf seinem Angebot zu behaften, wenn dieses auf einem offensichtlichen, wenn auch selbstverschuldeten Irrtum beruht, bedarf hier keiner abschliessenden Erörterung. Wie das Eidgenössische Volkswirtschaftsdepartement in seiner Beschwerde näher dartut (und woran zu zweifeln kein Anlass besteht), unterschied sich das Angebot der Beschwerdegegnerin nicht dermassen von den übrigen eingegangenen Angeboten, dass objektiv Anlass bestanden hätte, das Vorliegen eines offensichtlichen Irrtums anzunehmen, der allenfalls eine Rückfrage beim Anbieter aufgedrängt hätte. Es haben insgesamt 66 Personen jeweils mehrere Gebote für die gleiche Menge mit verschiedenen Preisen eingereicht. Unter diesen Umständen kann, entgegen der Annahme der Rekurskommission, nicht von einer Verletzung des Grundsatzes von Treu und Glauben gesprochen werden, wenn das Bundesamt für Landwirtschaft die Beschwerdegegnerin auf ihrem irrtümlichen Angebot behaftete. Der vorliegende Fall zeigt immerhin, dass auf die grundsätzlich kumulative Geltung der Angebote künftig wohl noch deutlicher hingewiesen werden sollte.</w:t>
      </w:r>
    </w:p>
    <w:p>
      <w:r>
        <w:rPr>
          <w:b/>
        </w:rPr>
        <w:t>E. 4</w:t>
      </w:r>
    </w:p>
    <w:p>
      <w:r>
        <w:t>Die Verwaltungsgerichtsbeschwerde des Eidgenössischen Volkswirtschaftsdepartements erweist sich nach dem Gesagten als begründet. Der Entscheid der Rekurskommission EVD vom 23. November 2001 ist aufzuheben und die Verfügung des Bundesamtes für Landwirtschaft vom 21. Mai 2001 zu bestätigen. Damit die Beschwerdegegnerin den ihr zugeteilten (und noch nicht voll ausgenützten) Zollkontingentsanteil ausnützen kann, ist die hierfür geltende Frist - gemäss dem Antrag des Departements - angemessen zu verlängern. Unter Berücksichtigung der bisherigen Verfahrensdauer rechtfertigt sich eine Fristverlängerung bis zum 31. Dezember 2002. Bei diesem Verfahrensausgang sind die Gerichtskosten der Beschwerdegegnerin aufzuerlegen (Art. 156 in Verbindung mit Art. 153 und 153a OG ). Eine Parteientschädigung ist nicht geschuldet ( Art. 159 Abs. 2 OG ). Über die Verteilung der Kosten des vorinstanzlichen Verfahrens hat die Rekurskommission EVD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