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2A.559/2000 vom 4. Oktober 2000</w:t>
      </w:r>
    </w:p>
    <w:p>
      <w:r>
        <w:t>Bundesgericht, 2000-10-04, FR</w:t>
      </w:r>
    </w:p>
    <w:p>
      <w:r>
        <w:rPr>
          <w:b/>
        </w:rPr>
        <w:t xml:space="preserve">Quelle: </w:t>
      </w:r>
      <w:r>
        <w:t>https://mcp.opencaselaw.ch/entscheid/bger_2A.559_2000</w:t>
      </w:r>
    </w:p>
    <w:p>
      <w:r>
        <w:t>FR: TF 2A.559/2000 du 4 octobre 2000</w:t>
      </w:r>
    </w:p>
    <w:p>
      <w:r>
        <w:t>IT: TF 2A.559/2000 del 4 ottobre 2000</w:t>
      </w:r>
    </w:p>
    <w:p>
      <w:pPr>
        <w:pStyle w:val="Heading2"/>
      </w:pPr>
      <w:r>
        <w:t>Erwägungen</w:t>
      </w:r>
    </w:p>
    <w:p>
      <w:r>
        <w:rPr>
          <w:b/>
        </w:rPr>
        <w:t>E. 1</w:t>
      </w:r>
    </w:p>
    <w:p>
      <w:r>
        <w:t>a) Selon l'art. 13b al. 1 de la loi fédérale du 26 mars 1931 sur le séjour et l'établissement des étrangers (LSEE; RS 142. 20), si une décision de renvoi ou d'expulsion de première instance a été notifiée à un étranger, l'autorité cantonale compétente peut, aux fins d'en assurer l'exécution, mettre en détention cette personne, notamment lorsque "des indices concrets font craindre qu'elle entend se soustraire au refoulement, notamment si son comportement jusqu'alors mène à conclure qu'elle se refuse à obtempérer aux instructions des autorités" (lettre c; sur les indices de danger de fuite, voir ATF 122 II 49 consid. 2a; 125 II 369 consid. 3b/aa; Alain Wurzburger, La jurisprudence récentedu Tribunal fédéral en matière de police des étrangers, in:</w:t>
      </w:r>
    </w:p>
    <w:p>
      <w:r>
        <w:t>RDAF 53/1997 I, p. 267 ss, spéc. p. 332/333).</w:t>
      </w:r>
    </w:p>
    <w:p>
      <w:r>
        <w:t>b) En l'occurrence, les conditions de la détention en vue du refoulement sont manifestement réalisées. Le recourant, qui est sous le coup d'une décision de renvoi de Suisse exécutoire, a déclaré à maintes reprises qu'il refusait de retourner dans son pays d'origine. Peu importe qu'il ait précisé qu'il était disposé à se rendre en Italie, étant donné que le recourant n'a de toute façon entrepris aucune démarche en vue d'obtenir les documents de voyage nécessaires à son départ de Suisse. De plus, il ressort de l'arrêt attaqué - dont les faits lient en principe le Tribunal fédéral ( art. 105 al. 2 OJ ) - que, le 16 novembre 2000, le recourant a disparu de l'école où il avait été placé, avant d'être appréhendé sur la scène de la drogue à Genève. C'est à tort que le recourant laisse entendre qu'à ce moment-là, il ne savait pas qu'il était tenu de quitter la Suisse. Contrairement à ce qu'il prétend, le prononcé d'irrecevabilité du 8 novembre 2000 de la Commission suisse de recours en matière d'asile a été régulièrement notifié à la dernière adresse connue du recourant. En tout état de cause, l'intéressé avait été dûment informé que durant la procédure d'asile il n'avait pas le droit de quitter le lieu de séjour qui lui avait été assigné, sans le consentement des autorités compétentes.</w:t>
      </w:r>
    </w:p>
    <w:p>
      <w:r>
        <w:t>c) Pour le surplus, il y a lieu de renvoyer aux motifs convaincants de l'arrêt attaqué ainsi qu'aux observations du Service cantonal ( art. 36a al. 3 OJ ).</w:t>
      </w:r>
    </w:p>
    <w:p>
      <w:r>
        <w:rPr>
          <w:b/>
        </w:rPr>
        <w:t>E. 2</w:t>
      </w:r>
    </w:p>
    <w:p>
      <w:r>
        <w:t>Manifestement mal fondé, le recours doit être rejeté selon la procédure simplifiée de l' art. 36a OJ . Succombant, le recourant doit normalement supporter un émolument judiciaire ( art. 156 al. 1 OJ ). Compte tenu des circonstances, il se justifie néanmoins de statuer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