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2A.557/2005 vom 21. Oktober 2005</w:t>
      </w:r>
    </w:p>
    <w:p>
      <w:r>
        <w:t>Bundesgericht, 2005-10-21, FR</w:t>
      </w:r>
    </w:p>
    <w:p>
      <w:r>
        <w:rPr>
          <w:b/>
        </w:rPr>
        <w:t xml:space="preserve">Quelle: </w:t>
      </w:r>
      <w:r>
        <w:t>https://mcp.opencaselaw.ch/entscheid/bger_2A.557_2005</w:t>
      </w:r>
    </w:p>
    <w:p>
      <w:r>
        <w:t>FR: TF 2A.557/2005 du 21 octobre 2005</w:t>
      </w:r>
    </w:p>
    <w:p>
      <w:r>
        <w:t>IT: TF 2A.557/2005 del 21 ottobre 2005</w:t>
      </w:r>
    </w:p>
    <w:p>
      <w:pPr>
        <w:pStyle w:val="Heading2"/>
      </w:pPr>
      <w:r>
        <w:t>Erwägungen</w:t>
      </w:r>
    </w:p>
    <w:p>
      <w:r>
        <w:rPr>
          <w:b/>
        </w:rPr>
        <w:t>E. 1</w:t>
      </w:r>
    </w:p>
    <w:p>
      <w:r>
        <w:t>Dans la mesure où le présent recours est dirigé contre la décision du Service cantonal du 19 avril 2005, il est irrecevable au regard de l'art. 98 lettre g OJ, car cette décision n'émane pas d'une autorité cantonale statuant en dernière instance.</w:t>
      </w:r>
    </w:p>
    <w:p>
      <w:r>
        <w:rPr>
          <w:b/>
        </w:rPr>
        <w:t>E. 2</w:t>
      </w:r>
    </w:p>
    <w:p>
      <w:r>
        <w:t>Le recourant demande, à titre de preuve, la production du dossier judiciaire. Le Tribunal administratif a déposé son dossier dans le délai que le Tribunal fédéral lui avait imparti à cette fin. La réquisition d'instruction du recourant est donc satisfaite.</w:t>
      </w:r>
    </w:p>
    <w:p>
      <w:r>
        <w:rPr>
          <w:b/>
        </w:rPr>
        <w:t>E. 3.1</w:t>
      </w:r>
    </w:p>
    <w:p>
      <w:r>
        <w:t>D'après l' art. 10 al. 1 LSEE , l'étranger peut être expulsé de Suisse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L'expulsion ne sera toutefois prononcée que si elle paraît appropriée à l'ensemble des circonstances et qu'elle respecte le principe de la proportionnalité ( art. 11 al. 3 LSEE et 16 al. 3 RSEE). Autrement dit, il faut procéder à une pesée des intérêts en présence. Pour cela, l'autorité de police des étrangers s'inspire de considérations différen- tes de celles qui guident l'autorité pénale. Ainsi, la décision du juge pénal d'ordonner ou non l'expulsion d'un condamné étranger ou de l'ordonner avec sursis, respectivement la décision que prend l'autorité compétente de suspendre l'exécution de cette peine accessoire, repose d'abord sur les perspectives de réinsertion sociale de l'intéres- sé; l'autorité de police des étrangers, elle, se préoccupe avant tout de l'ordre et de la sécurité publics. Si le motif d'expulsion est la commission d'une infraction, la peine infligée par le juge pénal est le premier critère lorsqu'il s'agit d'évaluer la gravité de la faute et de procéder à la pesée des intérêts.</w:t>
      </w:r>
    </w:p>
    <w:p>
      <w:r>
        <w:rPr>
          <w:b/>
        </w:rPr>
        <w:t>E. 3.2</w:t>
      </w:r>
    </w:p>
    <w:p>
      <w:r>
        <w:t>En l'occurrence, le motif d'expulsion figurant à l' art. 10 al. 1 lettre a LSEE est manifestement réalisé, puisque le recourant a commis, entre février 1991 et novembre 2001, plusieurs délits et crimes pour lesquels il a été condamné par des autorités judiciaires à plus de 4 ans d'emprisonnement. Vu le nombre élevé d'infractions commises, la faute du recourant peut être qualifiée de grave. A cela s'ajoute que l'intéressé, qui a déjà été condamné pour contravention à la loi sur les stupéfiants, est impliqué dans un trafic de stupéfiants portant sur quelque 8 kg de drogue et qu'il a admis y avoir participé. Or, il s'agit d'un domaine où la jurisprudence se montre particulièrement rigoureuse (cf. ATF 122 II 433 consid. 2c p. 436). La protection de la collectivité publique face au développement du marché de la drogue constitue incontestablement un intérêt public prépondérant justifiant l'éloignement d'un étranger qui s'est rendu coupable d'infraction grave à la loi sur les stupéfiants. Les étrangers qui sont mêlés au commerce des stupéfiants doivent donc s'attendre à faire l'objet de mesures d'éloignement (arrêt 2A.7/2004 du 2 août 2004, consid. 5.1). En outre, le recourant réalise aussi le motif d'expulsion mentionné à l' art. 10 al. 1 lettre b LSEE . Il a commencé à enfreindre la loi peu après son arrivée en Suisse et n'a pas cessé jusqu'à sa mise en détention préventive en été 2002. Cette persistance à violer la loi montre que l'intéressé ne veut pas s'adapter à l'ordre établi dans son pays d'accueil.</w:t>
      </w:r>
    </w:p>
    <w:p>
      <w:r>
        <w:t>Certes, le recourant vivait en Suisse depuis environ 15 ans et 9 mois quand est intervenu l'arrêt attaqué. Cette circonstance doit cependant être relativisée dans la mesure où, à ce moment, il avait déjà passé plus de 4 ans, au total, en détention préventive. De plus, comme on vient de le voir, en dépit du nombre d'années qu'il a passées en Suisse, le recourant ne s'y est pas intégré, puisqu'il n'arrive pas à s'adapter aux règles et usages de ce pays; il ne s'est du reste pas intégré professionnellement et ne se prévaut pas d'une intégration sociale particulière. En revanche, il a vécu jusqu'à 21 ans dans sa patrie où il a gardé des contacts et où il est souvent retourné. Ainsi, le Tribunal administratif a appliqué correctement les art. 10 et 11 LSEE ainsi que 16 RSEE et l'on peut renvoyer (cf. art. 36a al. 3 OJ ) à sa motivation à ce sujet (arrêt attaqué, consid. 4 et 5, p. 10-14).</w:t>
      </w:r>
    </w:p>
    <w:p>
      <w:r>
        <w:t>On ne saurait suivre le recourant quand il reproche à l'autorité intimée d'avoir violé le principe de la protection de la bonne foi, en relation avec l' art. 10 LSEE . En réalité, son argumentation revient à critiquer la possibilité d'expulser un étranger, qui est expressément prévue à l' art. 10 LSEE . On se contentera ici de relever que le recourant a reçu deux avertissements qui devaient attirer son attention sur le risque d'expulsion qu'il encourait en persistant dans un comportement délictueux. Par ailleurs, le Service cantonal n'a fait que respecter le principe de la présomption d'innocence en attendant l'arrêt rendu le 28 janvier 2003 par le Tribunal cantonal. Enfin, il ressort du texte même de l' art. 10 al. 1 lettre b LSEE qu'il faut prendre en considération la conduite de l'étranger "dans son ensemble", de sorte que le recourant se plaint à tort que l'autorité intimée ait pris en compte le comportement qu'il a eu depuis qu'il est en Suisse. Pour le surplus, on se réfère (cf. art. 36a al. 3 OJ ) à l'argumentation développée sur ce point par le Tribunal administratif (arrêt entrepris, consid. 4e, p. 12).</w:t>
      </w:r>
    </w:p>
    <w:p>
      <w:r>
        <w:rPr>
          <w:b/>
        </w:rPr>
        <w:t>E. 4</w:t>
      </w:r>
    </w:p>
    <w:p>
      <w:r>
        <w:t>Un étranger peut, selon les circonstances, se prévaloir du droit au respect de sa vie privée et familiale garanti par l' art. 8 par. 1 CEDH pour s'opposer à l'éventuelle séparation de sa famille. Encore faut-il, pour pouvoir invoquer cette disposition, que la relation entre l'étranger et une personne de sa famille ayant le droit de résider durablement en Suisse (c'est-à-dire au moins un droit certain à une autorisation de séjour: ATF 130 II 281 consid. 3.1 p. 285) soit étroite et effective ( ATF 129 II 193 consid. 5.3.1 p. 211). D'après la jurisprudence, les relations familiales que l' art. 8 par. 1 CEDH tend à préserver sont, avant tout, les rapports entre époux ainsi qu'entre parents et enfants mineurs vivant ensemble (cf. ATF 120 Ib 257 consid. 1d p. 261). Au demeurant, la protection découlant de l' art. 8 par. 1 CEDH n'est pas absolue. En effet, une atteinte à l'exercice du droit au respect de la vie privée et familiale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Le recourant ne vivait pas avec l'enfant A.________ qu'il a eu de son mariage avec une Suissesse, lorsqu'il a été mis en détention préventive en été 2002 et cette détention durait encore au moment où est intervenu l'arrêt attaqué. En outre, il n'est pas contesté que le recourant ne contribue pas à l'entretien de l'enfant précité; or, il aurait pu y participer sans y être obligé par le jugement de divorce. Dès lors, on ne saurait considérer que la relation que le recourant entretient avec son fils A.________ est étroite et effective au sens de l' art. 8 par. 1 CEDH . De toute façon, même si l'intéressé pouvait se prévaloir de l' art. 8 par. 1 CEDH , la protection de cette disposition devrait céder le pas devant l' art. 8 par. 2 CEDH . En effet, la mesure d'expulsion qui frappe le recourant est nécessaire à la défense de l'ordre et à la prévention des infractions pénales. Ainsi, le Tribunal administratif a respecté l' art. 8 CEDH et on peut renvoyer à la motivation qu'il a développée à cet égard (arrêt attaqué, consid. 5d et 5e, p. 13/14), sur la base de l' art. 36a al. 3 OJ .</w:t>
      </w:r>
    </w:p>
    <w:p>
      <w:r>
        <w:rPr>
          <w:b/>
        </w:rPr>
        <w:t>E. 5</w:t>
      </w:r>
    </w:p>
    <w:p>
      <w:r>
        <w:t>Le recours est manifestement mal fondé. Il doit donc être rejeté dans la mesure où il est recevable, selon la procédure simplifiée de l' art. 36a OJ . Le présent arrêt rend sans objet la demande d'effet suspensif. Les conclusions du recourant étaient dénuées de toutes chances de succès, de sorte qu'il convient de lui refuser l'assistance judiciaire ( art. 152 OJ ). Succombant, le recourant doit supporter les frais judiciaires, qui seront fixés compte tenu de sa situation ( art. 156 al. 1, 153 et 153a OJ ), et n'a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