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2A.54/2000 vom 23. Juni 2000</w:t>
      </w:r>
    </w:p>
    <w:p>
      <w:r>
        <w:t>Bundesgericht, 2000-06-23, FR</w:t>
      </w:r>
    </w:p>
    <w:p>
      <w:r>
        <w:rPr>
          <w:b/>
        </w:rPr>
        <w:t xml:space="preserve">Quelle: </w:t>
      </w:r>
      <w:r>
        <w:t>https://mcp.opencaselaw.ch/entscheid/bger_2A.54_2000</w:t>
      </w:r>
    </w:p>
    <w:p>
      <w:r>
        <w:t>FR: TF 2A.54/2000 du 23 juin 2000</w:t>
      </w:r>
    </w:p>
    <w:p>
      <w:r>
        <w:t>IT: TF 2A.54/2000 del 23 giugno 2000</w:t>
      </w:r>
    </w:p>
    <w:p>
      <w:pPr>
        <w:pStyle w:val="Heading2"/>
      </w:pPr>
      <w:r>
        <w:t>Erwägungen</w:t>
      </w:r>
    </w:p>
    <w:p>
      <w:r>
        <w:rPr>
          <w:b/>
        </w:rPr>
        <w:t>E. 1</w:t>
      </w:r>
    </w:p>
    <w:p>
      <w:r>
        <w:t>a) Dirigé contre une décision de non entrée en matière pour cause de tardiveté du recours cantonal au sujet d'une autorisation de séjour pour regroupement familial, le présent recours est recevable comme recours de droit administratif, en vertu des art. 97ss OJ ( ATF 123 I 275 consid. 2c p. 277). Il échappe en particulier à la clause d'irrecevabilité de l'art. 100 al. 1 lettre b ch. 3 OJ, dans la mesure où l'art. 17 al. 2 de la loi fédérale sur le séjour et l'établissement des étrangers (LSEE; RS 142. 20) confère aux enfants célibataires de moins de dix-huit ans un droit d'être inclus dans l'autorisation d'établissement de leurs parents, aussi longtemps qu'ils vivent auprès d'eux ( ATF 124 II 361 consid. 1b p. 364 et les arrêts cités).</w:t>
      </w:r>
    </w:p>
    <w:p>
      <w:r>
        <w:t>Il y a donc lieu d'entrer en matière sur le recours.</w:t>
      </w:r>
    </w:p>
    <w:p>
      <w:r>
        <w:t>b) Saisi d'un recours de droit administratif dirigé contre une décision émanant, comme en l'espèce, d'une autorité judiciaire, le Tribunal fédéral est lié par les faits constatés dans cette décision, sauf s'ils sont manifestement inexacts ou incomplets, ou s'ils ont été établis au mépris de règles essentielles de procédure ( art. 105 al. 2 OJ ).</w:t>
      </w:r>
    </w:p>
    <w:p>
      <w:r>
        <w:rPr>
          <w:b/>
        </w:rPr>
        <w:t>E. 2</w:t>
      </w:r>
    </w:p>
    <w:p>
      <w:r>
        <w:t>Le recourant soutient principalement que la décision de l'Office cantonal des étrangers du 20 janvier 1999 ne lui a pas été notifiée valablement. Comprenant mal le français, il n'aurait pas saisi la portée exacte de cette décision.</w:t>
      </w:r>
    </w:p>
    <w:p>
      <w:r>
        <w:t>En se contentant d'une communication orale, l'autorité cantonale aurait donc agi contrairement au principe de la bonne foi.</w:t>
      </w:r>
    </w:p>
    <w:p>
      <w:r>
        <w:t>a) Une décision ou une communication de procédure est notifiée, non pas au moment où le justiciable en prend connaissance, mais le jour où elle est dûment communiquée; s'agissant d'un acte soumis à réception, la notification est réputée parfaite au moment où l'envoi entre dans la sphère d'influence de son destinataire. Il suffit que celui-ci puisse en prendre connaissance ( ATF 118 II 42 , consid. 3b p. 44, 115 Ia 12 consid. 3b p. 17 et les références citées; Grisel, Traité de droit administratif, vol. II p. 876; Knapp, Précis de droit administratif, 4ème éd., n. 704 p. 153; Kölz/Häner, Verwaltungsverfahren und Verwaltungsrechtspflege des Bundes, n. 148 p. 96).</w:t>
      </w:r>
    </w:p>
    <w:p>
      <w:r>
        <w:t>b) Selon un principe général du droit administratif ( art. 38 PA et 107 al. 3 OJ), une notification irrégulière ne peut entraîner aucun préjudice pour les parties, de sorte que la décision affectée d'un tel vice doit en principe être considérée comme nulle. Toutefois, selon la jurisprudence, on ne peut dire que toute notification irrégulière soit nécessairement nulle; le principe légal a bien plutôt pour effet que la protection juridique recherchée est déjà réalisée lorsqu'une notification objectivement irrégulière atteint son but malgré cette irrégularité; c'est pourquoi il faut, d'après les circonstances concrètes du cas d'espèce, examiner si la partie intéressée a réellement été induite en erreur par l'irrégularité de la notification et a, de ce fait, subi un préjudice.</w:t>
      </w:r>
    </w:p>
    <w:p>
      <w:r>
        <w:t>A cet égard, il y a lieu de s'en tenir aux règles de la bonne foi, qui imposent une limite à l'invocation d'un vice de forme ( ATF 111 V 149 consid. 4c p. 150 et les références citées).</w:t>
      </w:r>
    </w:p>
    <w:p>
      <w:r>
        <w:t>Actuellement contenu à l' art. 5 al. 3 Cst. , le principe de la bonne foi s'impose en effet aux organes de l'Etat comme aux particuliers.</w:t>
      </w:r>
    </w:p>
    <w:p>
      <w:r>
        <w:t>c) En l'espèce, le droit cantonal ne contient aucune prescription quant au mode de notification des décisions administratives (cf. art. 31 de la loi vaudoise du 18 décembre 1989 sur la juridiction et la procédure administrative; RSV 1.5), de sorte que l'Office cantonal des étrangers pouvait charger le Bureau des étrangers de Lausanne de notifier sa décision du 20 janvier 1999 au père des enfants concernés par la demande de regroupement familial personnellement. Il ressort ainsi du dossier que le recourant IS.________ a été convoqué le 16 février 1999 et qu'une collaboratrice du Bureau des étrangers lui a donné lecture de la décision rejetant sa requête. Il s'est alors tout de suite emporté, puis a refusé de signer le procès-verbal de notification et de payer la taxe de 60 fr. qui lui était demandée.</w:t>
      </w:r>
    </w:p>
    <w:p>
      <w:r>
        <w:t>Au vu de ces faits qui lient le Tribunal fédéral ( art. 105 al. 2 OJ ), le recourant IS.________ ne saurait sérieusement soutenir qu'il n'avait pas compris le sens de la décision qui lui était communiquée. Tout laisse au contraire présumer qu'il n'avait nullement été induit en erreur par la lecture de la décision du 20 janvier 1999, mais qu'il avait délibérément choisi de ne pas s'y conformer, plutôt que de recourir contre elle. Il y a lieu dès lors de traiter son refus d'accepter la notification de la même façon que le refus d'un pli recommandé (Poudret, Commentaire de la loi fédérale d'organisation judiciaire, n. 1.3.5 ad art. 32, p. 202 et la jurisprudence citée) et d'admettre que les circonstances n'obligeaient pas l'autorité à procéder à une nouvelle notification par d'autres voies.</w:t>
      </w:r>
    </w:p>
    <w:p>
      <w:r>
        <w:t>En refusant de signer le procès-verbal de notification de la décision qui venait de lui être lue, le recourant IS.________ a ainsi entravé le cours de la communication qui lui était faite au sujet de sa demande de regroupement familial et doit en supporter les conséquences.</w:t>
      </w:r>
    </w:p>
    <w:p>
      <w:r>
        <w:t>Il s'ensuit que la décision du 20 janvier 1999 a été valablement notifiée le 16 février 1999. Partant, le recours adressé au Tribunal administratif le 6 décembre 1999 était tardif et a été déclaré à juste titre irrecevable.</w:t>
      </w:r>
    </w:p>
    <w:p>
      <w:r>
        <w:rPr>
          <w:b/>
        </w:rPr>
        <w:t>E. 3</w:t>
      </w:r>
    </w:p>
    <w:p>
      <w:r>
        <w:t>Vu ce qui précède, le présent recours doit être rejeté. Il y a lieu en outre de considérer qu'il était dépourvu de toutes chances de succès, de sorte que la demande d'assistance judiciaire présentée par les recourants doit être rejetée ( art. 152 al. 1 OJ ).</w:t>
      </w:r>
    </w:p>
    <w:p>
      <w:r>
        <w:t>Dans ces conditions, les frais judiciaires doivent être mis à la charge des recourants, solidairement entre eux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