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2A.547/2005 vom 26. Oktober 2005</w:t>
      </w:r>
    </w:p>
    <w:p>
      <w:r>
        <w:t>Bundesgericht, 2005-10-26, DE</w:t>
      </w:r>
    </w:p>
    <w:p>
      <w:r>
        <w:rPr>
          <w:b/>
        </w:rPr>
        <w:t xml:space="preserve">Quelle: </w:t>
      </w:r>
      <w:r>
        <w:t>https://mcp.opencaselaw.ch/entscheid/bger_2A.547_2005</w:t>
      </w:r>
    </w:p>
    <w:p>
      <w:r>
        <w:t>FR: TF 2A.547/2005 du 26 octobre 2005</w:t>
      </w:r>
    </w:p>
    <w:p>
      <w:r>
        <w:t>IT: TF 2A.547/2005 del 26 ottobre 2005</w:t>
      </w:r>
    </w:p>
    <w:p>
      <w:pPr>
        <w:pStyle w:val="Heading2"/>
      </w:pPr>
      <w:r>
        <w:t>Regeste</w:t>
      </w:r>
    </w:p>
    <w:p>
      <w:r>
        <w:t>Niederlassungsbewilligung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128 II 145 E. 1.1.1 S. 148 mit Hinweisen).</w:t>
      </w:r>
    </w:p>
    <w:p>
      <w:r>
        <w:rPr>
          <w:b/>
        </w:rPr>
        <w:t>E. 1.2</w:t>
      </w:r>
    </w:p>
    <w:p>
      <w:r>
        <w:t>Für die Eintretensfrage, d.h. für das Vorliegen eines Anspruches im Sinne von Art. 100 Abs. 1 lit. b Ziff. 3 OG stellt das Bundesgericht grundsätzlich auf die im Zeitpunkt seines Entscheides bestehende Rechts- und Sachlage ab ( BGE 128 II 145 E. 1.1.3 S. 149; 127 II 60 E. 1b S. 63 mit Hinweisen). Die Ehe der Beschwerdeführerin wurde am 10. Juni 2003 rechtskräftig geschieden. Ein Anspruch auf eine Aufenthaltsbewilligung nach Art. 7 Abs. 1 erster Satz des Bundesgesetzes vom 26. März 1931 über Aufenthalt und Niederlassung der Ausländer (ANAG; SR 142.20) kann insoweit im jetzigen Zeitpunkt nicht mehr geltend gemacht werden. Es kann sich einzig darum handeln, ob die Beschwerdeführerin noch vor der Scheidung einen Anspruch auf Niederlassungsbewilligung gemäss Art. 7 Abs. 1 zweiter Satz ANAG erworben hatte. Wohl steht vorliegend keine Niederlassungsbewilligung in Frage, indessen könnte ihr, falls ein Anspruch auf Niederlassungsbewilligung bestünde, die - ein weniger gefestigtes Anwesenheitsrecht gewährende - Aufenthaltsbewilligung erst recht nicht verweigert werden ( BGE 128 II 145 E. 1.1.4 S. 149).</w:t>
      </w:r>
    </w:p>
    <w:p>
      <w:r>
        <w:rPr>
          <w:b/>
        </w:rPr>
        <w:t>E. 1.3</w:t>
      </w:r>
    </w:p>
    <w:p>
      <w:r>
        <w:t>Nachdem die Ehe der Beschwerdeführerin 1 mit ihrem Schweizer Ehemann etwas über sechs Jahre dauerte und sie während dieser Zeit ordnungsgemäss und ununterbrochen in der Schweiz gelebt hat, hat sie grundsätzlich Anspruch auf Erteilung der Niederlassungsbewilligung. Auf die Verwaltungsgerichtsbeschwerde, mit der um Verlängerung der Aufenthaltsbewilligung ersucht wird, ist nach dem Gesagten somit einzutreten (vgl. BGE 128 II 145 E. 1.1.5 S. 150).</w:t>
      </w:r>
    </w:p>
    <w:p>
      <w:r>
        <w:rPr>
          <w:b/>
        </w:rPr>
        <w:t>E. 2.1</w:t>
      </w:r>
    </w:p>
    <w:p>
      <w:r>
        <w:t>Gemäss Art. 7 Abs. 2 ANAG und der dazu ergangenen Rechtsprechung hat der ausländische Ehegatte eines Schweizer Bürgers keinen Anspruch auf Erteilung und Verlängerung der Aufenthaltsbewilligung, wenn die Ehe eingegangen ist, um die Vorschriften über Aufenthalt und Niederlassung von Ausländern zu umgehen, sowie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 Dass die Ehe nur noch formell und ohne Aussicht auf Aufnahme bzw. Wiederaufnahme einer ehelichen Gemeinschaft besteht, entzieht sich in der Regel dem direkten Beweis und ist bloss durch Indizien zu erstellen ( BGE 130 II 113 E. 10.2 S. 135; 127 II 49 E. 5a S. 57). Feststellungen über das Bestehen solcher Indizien können äussere Gegebenheiten, aber auch innere, psychische Vorgänge betreffen (Wille der Ehegatten); es handelt sich so oder anders um tatsächliche Feststellungen, welche - wenn sie von einer richterlichen Vorinstanz getroffen worden sind - für das Bundesgericht grundsätzlich verbindlich sind ( Art. 105 Abs. 2 OG ).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Entscheid von der dargestellten Rechtsprechung zur missbräuchlichen Berufung auf die Ehe aus. Nach bloss kurzem Zusammenleben (Heirat im Mai 1997) haben sich die Ehegatten im Herbst 1998 getrennt und seither nicht mehr zusammengelebt. Die Gründe, die zum Scheitern der Ehe geführt haben, sind nicht von Belang, weshalb die Berufung auf ein allfälliges krankheitsbedingtes Mitwirken des Ehemannes am Auseinandergehen der ehelichen Gemeinschaft der Beschwerdeführerin nicht hilft. Gemäss den für das Bundesgericht verbindlichen Feststellungen der Vorinstanz wollte sich der Ehemann seit der Trennung scheiden lassen. Dass verschiedene Scheidungsbegehren des Ehemannes nicht bereits früher zum Ziel führten, beruhte nicht auf einer Wiederannäherung der Ehegatten sondern auf andern Gründen (krankheitsbedingte Verhandlungsunfähigkeit, Trennungsfrist). Im Übrigen hatte die Beschwerdeführerin 1 offensichtlich bereits kurz nach der Trennung eine Beziehung zu einem anderen Mann, stammt ihr im ** 1999 geborener Sohn doch nicht von ihrem Ehegatten ab. Hinweise darauf, dass die tatsächlichen Feststellungen im angefochtenen Entscheid offensichtlich unrichtig wären ( Art. 105 Abs. 2 OG ), sind nicht ersichtlich. Aufgrund der Dauer und der Umstände der Trennung sowie der Tatsache, dass die Ehe für den Ehemann offensichtlich definitiv gescheitert war, konnte die Beschwerdeführerin 1 nicht ernsthaft damit rechnen, das eheliche Zusammenleben werde zu irgend einem Zeitpunkt nochmals aufgenommen. Sporadische Kontakte zwischen den Ehegatten ändern daran nichts. Umstände oder eigene Bemühungen, die darauf schliessen liessen, dass konkret Hoffnung auf Versöhnung bestand, macht die Beschwerdeführerin 1 keine geltend.</w:t>
      </w:r>
    </w:p>
    <w:p>
      <w:r>
        <w:rPr>
          <w:b/>
        </w:rPr>
        <w:t>E. 3.2</w:t>
      </w:r>
    </w:p>
    <w:p>
      <w:r>
        <w:t>Bei gesamthafter Betrachtung aller Indizien musste sich für das Verwaltungsgericht der Schluss aufdrängen, dass keine Aussichten auf Wiederaufnahme der ehelichen Gemeinschaft mehr bestanden und dass die Ehe bereits vor Entstehung eines Anspruchs auf die Niederlassungsbewilligung definitiv gescheitert war. Wenn sich die Beschwerdeführerin 1 unter den dargelegten Umständen dennoch auf die Ehe beruft, um für sich und ihren Sohn die Verlängerung der Aufenthaltsbewilligung zu erwirken, handelt sie nach feststehender Praxis des Bundesgerichts rechtsmissbräuchlich. Die Vorinstanz hat folglich mit dem angefochtenen Urteil Bundesrecht nicht verletzt.</w:t>
      </w:r>
    </w:p>
    <w:p>
      <w:r>
        <w:rPr>
          <w:b/>
        </w:rPr>
        <w:t>E. 4.1</w:t>
      </w:r>
    </w:p>
    <w:p>
      <w:r>
        <w:t>Nach dem Gesagten erweist sich die Verwaltungsgerichtsbeschwerde als offensichtlich unbegründet und ist im vereinfachten Verfahren nach Art. 36a OG abzuweisen. Mit dem Entscheid in der Sache wird das Gesuch um aufschiebende Wirkung gegenstandslos.</w:t>
      </w:r>
    </w:p>
    <w:p>
      <w:r>
        <w:rPr>
          <w:b/>
        </w:rPr>
        <w:t>E. 4.2</w:t>
      </w:r>
    </w:p>
    <w:p>
      <w:r>
        <w:t>Bei diesem Ausgang des Verfahrens werden die Beschwerdeführer kostenpflichtig, wobei die Beschwerdeführerin 1 auch für den Kostenanteil ihres minderjährigen Kindes aufzukommen hat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