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2A.539/2006 vom 25. Januar 2007</w:t>
      </w:r>
    </w:p>
    <w:p>
      <w:r>
        <w:t>Bundesgericht, 2007-01-25, DE</w:t>
      </w:r>
    </w:p>
    <w:p>
      <w:r>
        <w:rPr>
          <w:b/>
        </w:rPr>
        <w:t xml:space="preserve">Quelle: </w:t>
      </w:r>
      <w:r>
        <w:t>https://mcp.opencaselaw.ch/entscheid/bger_2A.539_2006</w:t>
      </w:r>
    </w:p>
    <w:p>
      <w:r>
        <w:t>FR: TF 2A.539/2006 du 25 janvier 2007</w:t>
      </w:r>
    </w:p>
    <w:p>
      <w:r>
        <w:t>IT: TF 2A.539/2006 del 25 gennaio 2007</w:t>
      </w:r>
    </w:p>
    <w:p>
      <w:pPr>
        <w:pStyle w:val="Heading2"/>
      </w:pPr>
      <w:r>
        <w:t>Erwägungen</w:t>
      </w:r>
    </w:p>
    <w:p>
      <w:r>
        <w:rPr>
          <w:b/>
        </w:rPr>
        <w:t>E. 1.1</w:t>
      </w:r>
    </w:p>
    <w:p>
      <w:r>
        <w:t>Der Entscheid des Verwaltungsgerichts vom 12. Juli 2006 ist vor dem Inkrafttreten des BGG (Bundesgerichtsgesetz vom 17. Juni 2005; SR 173.110) am 1. Januar 2007 ergangen, weshalb dieses noch nicht anwendbar ist (vgl. Art. 132 Abs. 1 BGG ).</w:t>
      </w:r>
    </w:p>
    <w:p>
      <w:r>
        <w:rPr>
          <w:b/>
        </w:rPr>
        <w:t>E. 1.2</w:t>
      </w:r>
    </w:p>
    <w:p>
      <w:r>
        <w:t>Die Verweigerung einer fremdenpolizeilichen Aufenthaltsbewilligung kann nur dann mit Verwaltungsgerichtsbeschwerde angefochten werden, wenn der Ausländer gestützt auf eine Sondernorm des Bundesrechts oder eines Staatsvertrags einen Anspruch auf die Bewilligung besitzt (Art. 100 Abs. 1 lit. b Ziff. 3 OG e contrario; vgl. Art. 4 ANAG ; BGE 130 II 281 E. 2.1 S. 284 mit Hinweis). Der Beschwerdeführer ist mit einer Schweizer Bürgerin verheiratet. Damit hat er grundsätzlich Anspruch auf Erteilung und Verlängerung der Aufenthaltsbewilligung ( Art. 7 Abs. 1 Satz 1 ANAG ). Ob der Anspruch allenfalls erloschen ist, insbesondere weil ein Ausweisungsgrund vorliegt, ist eine Frage der materiellen Beurteilung und nicht der Zulässigkeit des Rechtsmittels ( BGE 128 II 145 E. 1.1.5 S. 149 f., mit Hinweisen). Die Verwaltungsgerichtsbeschwerde erweist sich somit als zulässig.</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1.4</w:t>
      </w:r>
    </w:p>
    <w:p>
      <w:r>
        <w:t>Nicht zu berücksichtigen sind das vom Beschwerdeführer erst im bundesgerichtlichen Verfahren eingereichte Arbeitszeugnis sowie der Therapiebericht: Die entsprechenden Schriftstücke stammen aus der Zeit nach dem angefochtenen Entscheid. Das Bundesgericht lässt in seinem Verfahren nur solche neuen Tatsachen und Beweismittel zu, welche die Vorinstanz von Amtes wegen hätte berücksichtigen müssen und deren Nichtbeachtung eine Verletzung wesentlicher Verfahrensvorschriften bildet ( BGE 128 II 145 E. 1.2.1 S. 150 mit Hinweisen); nachträgliche Veränderungen oder Weiterentwicklungen des Sachverhaltes (sog. "echte" Noven) berücksichtigt es nicht, denn einer Behörde kann nicht vorgeworfen werden, sie habe den Sachverhalt im Sinne von Art. 105 Abs. 2 OG fehlerhaft festgestellt, wenn sich dieser nach ihrem Entscheid verändert hat ( BGE 128 II 145 E. 1.2.1 S. 150).</w:t>
      </w:r>
    </w:p>
    <w:p>
      <w:r>
        <w:rPr>
          <w:b/>
        </w:rPr>
        <w:t>E. 2.1</w:t>
      </w:r>
    </w:p>
    <w:p>
      <w:r>
        <w:t>Der ausländische Ehegatte eines Schweizer Bürgers hat Anspruch auf Erteilung und Verlängerung der Aufenthaltsbewilligung. Nach einem ordnungsgemässen und ununterbrochenen Aufenthalt von fünf Jahren hat er Anspruch auf die Niederlassungsbewilligung. Der Anspruch erlischt, wenn ein Ausweisungsgrund vorliegt ( Art. 7 Abs. 1 ANAG ). Der Ausländer kann nach Art. 10 Abs. 1 ANAG aus der Schweiz oder aus einem Kanton unter anderem ausgewiesen werden, wenn er wegen eines Verbrechens oder Vergehens gerichtlich bestraft wurde (lit. a), wenn sein Verhalten im Allgemeinen und seine Handlungen darauf schliessen lassen, dass er nicht gewillt oder nicht fähig ist, sich in die im Gaststaat geltende Ordnung einzufügen (lit. b) oder wenn er oder eine Person, für die er zu sorgen hat, der öffentlichen Wohltätigkeit fortgesetzt und in erheblichem Masse zur Last fällt (lit. d).</w:t>
      </w:r>
    </w:p>
    <w:p>
      <w:r>
        <w:rPr>
          <w:b/>
        </w:rPr>
        <w:t>E. 2.2</w:t>
      </w:r>
    </w:p>
    <w:p>
      <w:r>
        <w:t>Die Ausweisung soll aber nur verfügt werden, wenn die nach Art. 11 Abs. 3 ANAG bzw. Art. 8 Ziff. 2 EMRK gebotene Interessenabwägung diese Massnahme als angemessen, d.h. verhältnismässig ( BGE 116 Ib 353 E. 2 S. 356 f.),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SR 142.201] ; Urteil des EGMR i.S. Boultif gegen die Schweiz vom 2. August 2001, Rz. 48, publ. in: VPB 65/2001 Nr. 138; BGE 129 II 215 E. 3 und 4 S. 216 ff.; 125 II 105 ff.).</w:t>
      </w:r>
    </w:p>
    <w:p>
      <w:r>
        <w:rPr>
          <w:b/>
        </w:rPr>
        <w:t>E. 2.3</w:t>
      </w:r>
    </w:p>
    <w:p>
      <w:r>
        <w:t>Wurde nicht eine Ausweisung angeordnet, sondern - wie hier - die Verlängerung einer Aufenthaltsbewilligung verweigert, so ist ebenfalls eine Verhältnismässigkeitsprüfung nach den Kriterien von Art. 11 Abs. 3 ANAG in Verbindung mit Art. 16 Abs. 3 ANAV vorzunehmen. Zu beachten ist dabei, wie das Verwaltungsgericht zu Recht erwogen hat, dass die Bewilligungsverweigerung eine etwas weniger eingreifende Massnahme darstellt als die Ausweisung, wird doch der betroffenen ausländischen Person nur im letzteren Fall das Betreten der Schweiz vollständig untersagt ( Art. 11 Abs. 4 ANAG ).</w:t>
      </w:r>
    </w:p>
    <w:p>
      <w:r>
        <w:rPr>
          <w:b/>
        </w:rPr>
        <w:t>E. 3.1</w:t>
      </w:r>
    </w:p>
    <w:p>
      <w:r>
        <w:t>Ein Ausweisungsgrund, der geeignet ist, den Anspruch auf eine Anwesenheitsbewilligung nach Art. 7 ANAG sowie Art. 8 EMRK zum Erlöschen zu bringen, liegt auf Grund der gerichtlichen Verurteilungen des Beschwerdeführers vor ( Art. 10 Abs. 1 lit. a ANAG ). Der Beschwerdeführer wurde wiederholt unter anderem wegen Drogen- und Strassenverkehrsdelikten mit Freiheitsstrafen von insgesamt rund 44 Monaten belegt (vgl. dazu die Rechtsprechung zur so genannten "Zweijahresregel": BGE 130 II 176 E. 4.1 S. 185; 120 Ib 6 E. 4b S. 14). Bei Straftaten dieser Art (Drogenhandel) verfolgt das Bundesgericht im Rahmen von Art. 10 Abs. 1 lit. a ANAG - wie auch der Europäische Gerichtshof für Menschenrechte zu Art. 8 EMRK - eine strenge Praxis ( BGE 125 II 521 E. 4a S. 527 mit Hinweisen). Erschwerend fällt ins Gewicht, dass der Beschwerdeführer zum Teil auch in Zeiten, in denen er selber keine Drogen konsumierte, am Drogenhandel teilnahm.</w:t>
      </w:r>
    </w:p>
    <w:p>
      <w:r>
        <w:rPr>
          <w:b/>
        </w:rPr>
        <w:t>E. 3.2</w:t>
      </w:r>
    </w:p>
    <w:p>
      <w:r>
        <w:t>Entgegen den Vorbringen in der Beschwerdeschrift ist für die Frage, ob ein die Ansprüche gemäss Art. 7 ANAG bzw. Art. 8 EMRK zum Erlöschen bringender Ausweisungsgrund vorliegt, nicht nur auf die zuletzt ausgesprochene Strafe, sondern auf das gesamte bisherige Verhalten des Beschwerdeführers abzustellen. Insbesondere bei schwerwiegenden Drogendelikten ist angesichts der von diesen ausgehenden potentiellen Gefahren für die Gesellschaft ausländerrechtlich nur ein geringes Restrisiko in Kauf zu nehmen (vgl. BGE 125 II 521 E. 4a/bb S. 528). Ein solches kann beim Beschwerdeführer mit Blick auf seine wiederholten Rückfälle nicht hinreichend ausgeschlossen werden. Auf Grund seines Verhaltens - für dessen zutreffende Würdigung auf die Ausführungen im angefochtenen Urteil verwiesen werden kann - besteht eine nicht unerhebliche Wahrscheinlichkeit, dass der Beschwerdeführer auch weiterhin die öffentliche Ordnung und Sicherheit gefährden oder gegen strafrechtlich geschützte Rechtsgüter verstossen wird. Zudem erfüllt der Beschwerdeführer nicht nur die Ausweisungsgründe von Art. 10 Abs. 1 lit. a und b (zum Letzteren vgl. Art. 16 Abs. 2 ANAV ), vielmehr besteht bei ihm auch das erhebliche Risiko der Fürsorgeabhängigkeit ( Art. 10 Abs. 1 lit. d ANAG ). Unter diesen Umständen besteht ein gewichtiges öffentliches Interesse an seiner Entfernung und Fernhaltung aus der Schweiz.</w:t>
      </w:r>
    </w:p>
    <w:p>
      <w:r>
        <w:rPr>
          <w:b/>
        </w:rPr>
        <w:t>E. 3.3</w:t>
      </w:r>
    </w:p>
    <w:p>
      <w:r>
        <w:t>Die gegenläufigen privaten Interessen des Beschwerdeführers vermögen die für seine Fernhaltung sprechenden Gründe nicht aufzuwiegen. Er weilt zwar schon längere Zeit in der Schweiz, doch hat er die ersten 18 Jahre seines Lebens im Heimatland verbracht und ist damit kein Ausländer zweiter Generation, dem der weitere Aufenthalt in der Schweiz nur unter ganz restriktiven Voraussetzungen verweigert werden dürfte (vgl. BGE 130 II 176 E. 4.4.2 S. 190 f.; 125 II 521 E. 2b S. 523; 122 II 433 E. 2 und 3 S. 435 ff.). Nach den verbindlichen Feststellungen der Vorinstanz hat sich der Beschwerdeführer in der Schweiz beruflich nicht integriert. Ob und wieweit zu Ehefrau und Kindern, die von ihm getrennt leben, noch eine intakte Beziehung besteht, ist zweifelhaft. Die eheliche Gemeinschaft kann - wenn überhaupt - ohnehin nur zeitweise gelebt werden, da sich die Ehefrau in der Aussenstation einer Drogenentzugsstation aufhält und eine gemeinsame Zukunft mit ihm für unsicher hält. Die beiden Kinder sind im Kanton Graubünden in einer Pflegefamilie untergebracht. Der Beschwerdeführer verfügt über ein monatliches Besuchsrecht und hat - gemäss Vorinstanz - seine Verpflichtungen nicht immer zuverlässig wahrgenommen.</w:t>
      </w:r>
    </w:p>
    <w:p>
      <w:r>
        <w:t>Das Verwaltungsgericht kommt zum Schluss, dass eine Trennung hart wäre. Es hat aber zu Recht das öffentliche Interesse an der Wegweisung des Beschwerdeführers höher gewichtet als dessen private Interessen am Verbleib in der Schweiz, zumal die Möglichkeit von Besuchen mit der Nichtverlängerung der Aufenthaltsbewilligung nicht ausgeschlossen ist. Der angefochtene Entscheid, auf dessen Erwägungen im Übrigen verwiesen werden kann, ist deshalb verhältnismässig und verletzt weder Bundesrecht noch Art. 8 EMRK .</w:t>
      </w:r>
    </w:p>
    <w:p>
      <w:r>
        <w:rPr>
          <w:b/>
        </w:rPr>
        <w:t>E. 4</w:t>
      </w:r>
    </w:p>
    <w:p>
      <w:r>
        <w:t>Die Verwaltungsgerichtsbeschwerde erweist sich somit als unbegründet und ist abzuweisen. Da die gestellten Rechtsbegehren als von vornherein aussichtslos bezeichnet werden müssen, ist das für das bundesgerichtliche Verfahren gestellte Gesuch um unentgeltliche Prozessführung abzuweisen ( Art. 152 Abs. 1 OG ), und der Beschwerdeführer hat die Kosten des Verfahrens vor Bundesgericht zu tragen, wobei seiner wirtschaftlichen Situation mit einer reduzierten Gerichtsgebühr Rechnung zu tragen ist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