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2A.534/2006 vom 19. Oktober 2006</w:t>
      </w:r>
    </w:p>
    <w:p>
      <w:r>
        <w:t>Bundesgericht, 2006-10-19, DE</w:t>
      </w:r>
    </w:p>
    <w:p>
      <w:r>
        <w:rPr>
          <w:b/>
        </w:rPr>
        <w:t xml:space="preserve">Quelle: </w:t>
      </w:r>
      <w:r>
        <w:t>https://mcp.opencaselaw.ch/entscheid/bger_2A.534_2006</w:t>
      </w:r>
    </w:p>
    <w:p>
      <w:r>
        <w:t>FR: TF 2A.534/2006 du 19 octobre 2006</w:t>
      </w:r>
    </w:p>
    <w:p>
      <w:r>
        <w:t>IT: TF 2A.534/2006 del 19 ottobre 2006</w:t>
      </w:r>
    </w:p>
    <w:p>
      <w:pPr>
        <w:pStyle w:val="Heading2"/>
      </w:pPr>
      <w:r>
        <w:t>Erwägungen</w:t>
      </w:r>
    </w:p>
    <w:p>
      <w:r>
        <w:rPr>
          <w:b/>
        </w:rPr>
        <w:t>E. 1.1</w:t>
      </w:r>
    </w:p>
    <w:p>
      <w:r>
        <w:t>Nachdem die Aufenthaltsbewilligung der Beschwerdeführerin 1 abgelaufen ist, stellt sich im vorliegenden Verfahren nur noch die Frage, ob deren Verlängerung zu Recht verweigert wurde. 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t>Entgegen der Vorbringen in der Beschwerdeschrift war im Übrigen von einer Ausweisung ( Art. 10 ANAG ) nie die Rede, weshalb auf die entsprechenden Ausführungen nicht einzugehen ist.</w:t>
      </w:r>
    </w:p>
    <w:p>
      <w:r>
        <w:rPr>
          <w:b/>
        </w:rPr>
        <w:t>E. 1.2</w:t>
      </w:r>
    </w:p>
    <w:p>
      <w:r>
        <w:t>Für die Eintretensfrage, d.h. für das Vorliegen eines Anspruches im Sinne von Art. 100 Abs. 1 lit. b Ziff. 3 OG, stellt das Bundesgericht grundsätzlich auf die im Zeitpunkt seines Entscheides bestehende Rechts- und Sachlage ab ( BGE 128 II 145 E. 1.1.3 S. 149; 127 II 60 E. 1b S. 63 mit Hinweisen). Gemäss eigener Angabe in der Beschwerdeschrift wurde die Ehe der Beschwerdeführerin 1 mit einem Schweizer Bürger am 23. März 2005 rechtskräftig geschieden. Ein Anspruch auf eine Aufenthaltsbewilligung nach Art. 7 Abs. 1 des Bundesgesetzes vom 26. März 1931 über Aufenthalt und Niederlassung der Ausländer (ANAG; SR 142.20) kann insoweit im jetzigen Zeitpunkt nicht mehr geltend gemacht werden. Nachdem die Ehe weniger als fünf Jahre gedauert hat, erwarb die Beschwerdeführerin vor der Scheidung auch keinen Anspruch auf die Niederlassungsbewilligung, was das weniger weit gehende Recht auf eine Verlängerung der Aufenthaltsbewilligung in sich schlösse ( BGE 128 II 145 E. 1.1.4 S. 149).</w:t>
      </w:r>
    </w:p>
    <w:p>
      <w:r>
        <w:t>Eine Gesetzesbestimmung, die einem Elternteil Anspruch auf Anwesenheit bei seinem in der Schweiz anwesenheitsberechtigten Kind vermitteln würde, kennt das schweizerische nationale Recht nicht, dies im Unterschied zum umgekehrten Fall, wo unter Umständen ein gesetzlicher Anspruch bestehen kann (vgl. Art. 17 Abs. 2 ANAG ). Hingegen garantiert Art. 8 Ziff. 1 EMRK den Schutz des Familienlebens. Darauf kann sich der Ausländer berufen, der nahe Verwandte mit einem gefestigten Anwesenheitsrecht in der Schweiz hat. Vorausgesetzt wird im Übrigen, dass eine tatsächlich gelebte und intakte familiäre Beziehung besteht. Wird dem Ausländer selber die Anwesenheit in der Schweiz untersagt, kann dies Art. 8 EMRK verletzen.</w:t>
      </w:r>
    </w:p>
    <w:p>
      <w:r>
        <w:t>Da die familiäre Beziehung zwischen der sorgeberechtigten Beschwerdeführerin 1 und ihrem schweizerischen Sohn unbestrittenermassen intakt ist und tatsächlich gelebt wird, kann ein Rechtsanspruch auf eine ausländerrechtliche Bewilligung gestützt auf Art. 8 EMRK in Frage stehen. Das Rechtsmittel der Verwaltungsgerichtsbeschwerde erscheint somit als zulässig. Die Frage der Beschwerdeberechtigung des minderjährigen Kindes, das im kantonalen Verfahren nicht Parteistellung hatte, aber ohnehin von seiner Mutter vertreten wird, kann vorliegend dahingestellt bleiben.</w:t>
      </w:r>
    </w:p>
    <w:p>
      <w:r>
        <w:rPr>
          <w:b/>
        </w:rPr>
        <w:t>E. 1.3</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Die nach der Ausfällung des angefochtenen Urteils erstellten Beschwerdebeilagen sind daher unbeachtlich. Sie wären ohnehin nicht geeignet, am Ausgang des Verfahrens etwas zu ändern.</w:t>
      </w:r>
    </w:p>
    <w:p>
      <w:r>
        <w:rPr>
          <w:b/>
        </w:rPr>
        <w:t>E. 2.1</w:t>
      </w:r>
    </w:p>
    <w:p>
      <w:r>
        <w:t>Nach der Rechtsprechung garantiert die Europäische Menschenrechtskonvention kein Recht auf Aufenthalt in einem Konventionsstaat. Das in Art. 8 EMRK gewährleistete Recht auf Achtung des Familienlebens kann nur angerufen werden, wenn eine staatliche Entfernungs- oder Fernhaltemassnahme zur Trennung von Familienmitgliedern führt. Ein staatlicher Eingriff in das Recht auf Familienleben liegt indessen nicht vor, wenn es den Familienangehörigen zumutbar ist, ihr Familienleben im Ausland zu führen. Ist es dem in der Schweiz anwesenheitsberechtigten Familienmitglied in diesem Sinne zumutbar, mit dem Ausländer, dem eine fremdenpolizeiliche Bewilligung verweigert worden ist, auszureisen, ist Art. 8 EMRK somit von vornherein nicht verletzt ( BGE 122 II 289 E. 3b S. 297). Unter diesen Voraussetzungen kann die Interessenabwägung nach Art. 8 Ziff. 2 EMRK unterbleiben (Urteil 2A.508/2005 vom 16. September 2005 E. 2.2.1).</w:t>
      </w:r>
    </w:p>
    <w:p>
      <w:r>
        <w:rPr>
          <w:b/>
        </w:rPr>
        <w:t>E. 2.2</w:t>
      </w:r>
    </w:p>
    <w:p>
      <w:r>
        <w:t>Grundsätzlich ist davon auszugehen, dass einem Kind zugemutet werden kann, seinen Eltern bzw. dem für ihn sorgenden Elternteil ins Ausland zu folgen, wenn es sich noch in einem anpassungsfähigen Alter befindet. Bei einem Kleinkind ist dies regelmässig der Fall. Auch die schweizerische Staatsangehörigkeit schliesst die Zumutbarkeit einer Ausreise ins Ausland nicht aus ( BGE 122 II 289 E. 3c S. 298 mit Hinweis). Dies gilt erst recht, wenn das Kind noch keine zwei Jahre alt ist und abgesehen vom Bürgerrecht keine weiteren Beziehungen zur Schweiz aufweist, wie das im vorliegenden Fall zutrifft. Das Verhältnis zum gesetzlichen Vater ist vorliegend unter dem Gesichtspunkt von Art. 8 EMRK ohne Belang, da zwischen Vater und Kind unbestrittenermassen keine persönliche Beziehung besteht (vgl. BGE 122 II 289 E. 3c S. 298).</w:t>
      </w:r>
    </w:p>
    <w:p>
      <w:r>
        <w:t>Die Beschwerdeführerin 1 stammt aus Mazedonien und hält sich erst seit dreieinhalb Jahren in der Schweiz auf. Es ist ihr ohne weiteres zuzumuten, in ihr Heimatland zurückzukehren. Auch für ein Kleinkind schweizerischer Nationalität erscheint nicht ausgeschlossen, dort in angemessenen Verhältnissen aufwachsen zu können. Demnach ist nicht erstellt, dass die familiäre Beziehung zwischen den Beschwerdeführern nur in der Schweiz gelebt werden kann. Die Verweigerung einer Anwesenheitsbewilligung für die Mutter führt daher nicht zur Trennung der Beschwerdeführer. Art. 8 EMRK ist somit von vornherein nicht verletzt. Aus dem Urteil BGE 120 Ib 1 können die Beschwerdeführer nichts zu ihren Gunsten ableiten; in jenem Fall hätte die Bewilligungsverweigerung zur Trennung von Vater und Tochter, zwischen denen eine enge familiäre Beziehung bestand, geführt.</w:t>
      </w:r>
    </w:p>
    <w:p>
      <w:r>
        <w:rPr>
          <w:b/>
        </w:rPr>
        <w:t>E. 2.3</w:t>
      </w:r>
    </w:p>
    <w:p>
      <w:r>
        <w:t>Dass die Vorinstanz die unentgeltliche Rechtspflege und Verbeiständung verweigert hat, weil ihr die Rechtsbegehren aussichtslos erschienen, ist unter diesen Umständen nicht zu beanstanden.</w:t>
      </w:r>
    </w:p>
    <w:p>
      <w:r>
        <w:rPr>
          <w:b/>
        </w:rPr>
        <w:t>E. 3.1</w:t>
      </w:r>
    </w:p>
    <w:p>
      <w:r>
        <w:t>Die Verwaltungsgerichtsbeschwerde erweist sich demnach als offensichtlich unbegründet und ist im vereinfachten Verfahren nach Art. 36a OG abzuweisen, soweit darauf eingetreten werden kann.</w:t>
      </w:r>
    </w:p>
    <w:p>
      <w:r>
        <w:rPr>
          <w:b/>
        </w:rPr>
        <w:t>E. 3.2</w:t>
      </w:r>
    </w:p>
    <w:p>
      <w:r>
        <w:t>Dem Gesuch um unentgeltliche Rechtspflege und Verbeiständung für das bundesgerichtliche Verfahren kann wegen Aussichtslosigkeit der Rechtsbegehren nicht entsprochen werden (vgl. Art. 152 Abs. 1 OG ). Die Beschwerdeführer werden somit kostenpflichtig (Art. 156 Abs. 1 in Verbindung mit Art. 153 OG ), wobei die Beschwerdeführerin 1 auch für den Kostenanteil ihres minderjährigen Kindes aufzukommen hat. Der finanziellen Lage der Beschwerdeführer wird bei der Bemessung der Gerichtsgebühr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