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2A.534/2005 vom 17. Februar 2006</w:t>
      </w:r>
    </w:p>
    <w:p>
      <w:r>
        <w:t>Bundesgericht, 2006-02-17, DE</w:t>
      </w:r>
    </w:p>
    <w:p>
      <w:r>
        <w:rPr>
          <w:b/>
        </w:rPr>
        <w:t xml:space="preserve">Quelle: </w:t>
      </w:r>
      <w:r>
        <w:t>https://mcp.opencaselaw.ch/entscheid/bger_2A.534_2005</w:t>
      </w:r>
    </w:p>
    <w:p>
      <w:r>
        <w:t>FR: TF 2A.534/2005 du 17 février 2006</w:t>
      </w:r>
    </w:p>
    <w:p>
      <w:r>
        <w:t>IT: TF 2A.534/2005 del 17 febbraio 2006</w:t>
      </w:r>
    </w:p>
    <w:p>
      <w:pPr>
        <w:pStyle w:val="Heading2"/>
      </w:pPr>
      <w:r>
        <w:t>Regeste</w:t>
      </w:r>
    </w:p>
    <w:p>
      <w:r>
        <w:t>Zollnachlass | Öffentliche Finanzen &amp; Abgaberecht</w:t>
      </w:r>
    </w:p>
    <w:p>
      <w:pPr>
        <w:pStyle w:val="Heading2"/>
      </w:pPr>
      <w:r>
        <w:t>Erwägungen</w:t>
      </w:r>
    </w:p>
    <w:p>
      <w:r>
        <w:rPr>
          <w:b/>
        </w:rPr>
        <w:t>E. 1.1</w:t>
      </w:r>
    </w:p>
    <w:p>
      <w:r>
        <w:t>Gemäss Art. 99 Abs. 1 lit. g OG ist die Verwaltungsgerichtsbeschwerde unzulässig gegen Verfügungen über Erlass oder Stundung geschuldeter Abgaben. Dieser Regelung liegt der Gedanke zugrunde, dass den Verwaltungsbehörden dabei Ermessen oder zum Mindesten ein sehr weiter Beurteilungsspielraum zusteht, welcher der Verwaltungsgerichtsbarkeit entzogen bleiben soll (vgl. BBl 1965 II 1265, insbes. S. 1268 und 1313). Somit steht es dem Bundesgericht prinzipiell nicht zu, über den Erlass von Abgaben zu befinden. Allerdings betrachtet das Zollrecht den Zollerlass als einen Rechtsanspruch des Zahlungspflichtigen, sofern die gesetzlichen Voraussetzungen dafür erfüllt sind (vgl. Remo Arpagaus, Das schweizerische Zollrecht, in: Koller/Müller/Rhinow/Zimmerli [Hrsg.], Schweizerisches Bundesverwaltungsrecht, Basel/Genf/München 1999, Rz. 97; Ernst Blumenstein, Grundzüge des schweizerischen Zollrechts, Bern 1931, S. 44 f.). Daher sind Erlassverfügungen nach Art. 127 des Zollgesetzes vom 1. Oktober 1925 (ZG; SR 631.0) der Verwaltungsgerichtsbeschwerde in Ausnahme zu Art. 99 Abs. 1 lit. g OG unterworfen (vgl. BBl 1965 II 1313), weshalb sich die vorliegende Verwaltungsgerichtsbeschwerde als zulässig erweist (vgl. zum Ganzen: ASA 74 246 E. 1).</w:t>
      </w:r>
    </w:p>
    <w:p>
      <w:r>
        <w:rPr>
          <w:b/>
        </w:rPr>
        <w:t>E. 1.2</w:t>
      </w:r>
    </w:p>
    <w:p>
      <w:r>
        <w:t>Das Eidgenössische Finanzdepartement steht der Zollverwaltung vor ( Art. 129 Abs. 1 ZG ) und ist mithin für Zollstreitigkeiten zur Verwaltungsgerichtsbeschwerde legitimiert (vgl. Art. 103 lit. b OG ). Art. 5 in Verbindung mit Art. 19 der Organisationsverordnung vom 11. Dezember 2000 für das Eidgenössische Finanzdepartement (OV-EFD; SR 172.215.1) delegiert diese Beschwerdebefugnis an die Eidgenössische Zollverwaltung. Nachdem deren Leitung der Oberzolldirektion obliegt ( Art. 131 Abs. 1 ZG ), ist diese zur Führung der Verwaltungsgerichtsbeschwerde vor Bundesgericht berechtigt. Auf ihre form- und fristgerecht eingereichte Beschwerde ist einzutreten.</w:t>
      </w:r>
    </w:p>
    <w:p>
      <w:r>
        <w:rPr>
          <w:b/>
        </w:rPr>
        <w:t>E. 2.1</w:t>
      </w:r>
    </w:p>
    <w:p>
      <w:r>
        <w:t>Art. 127 ZG regelt den so genannten Zollnachlass, mit dem eine rechtskräftig feststehende Zollschuld erlassen wird. Abgesehen von den hier nicht interessierenden besonderen Gründen von Art. 127 Abs. 1 Ziff. 1-3 ZG sieht Ziff. 4 derselben Bestimmung einen allgemeinen Auffangtatbestand als Härteklausel vor (vgl. Arpagaus, a.a.O., Rz. 97): Danach wird ein Zollbetrag dann ganz oder teilweise erlassen, wenn aussergewöhnliche, nicht die Bemessung der Abgaben betreffende Verhältnisse den Bezug als besondere Härte erscheinen liessen. Nach dem Wortlaut des Gesetzes müssen diese Voraussetzungen für einen Zollerlass kumulativ erfüllt sein. Liegen sie vor, greift kein behördliches Ermessen, sondern es besteht ein Anspruch auf Nachlass (vgl. E. 1.1), d.h. dieser ist zu gewähren.</w:t>
      </w:r>
    </w:p>
    <w:p>
      <w:r>
        <w:rPr>
          <w:b/>
        </w:rPr>
        <w:t>E. 2.2</w:t>
      </w:r>
    </w:p>
    <w:p>
      <w:r>
        <w:t>Gemäss bundesgerichtlicher Rechtsprechung ist ein Zollnachlass wegen irrtümlicher Unterlassung des Antrags auf Präferenzabfertigung (vgl. Art. 4 des Abkommens zwischen der Schweizerischen Eidgenossenschaft und der Europäischen Wirtschaftsgemeinschaft [EWR-Übereinkommen; 0.632.401]; siehe auch ASA 74 246 E. 2.2) nur zulässig, wenn sowohl die materiellen als auch die formellen Voraussetzungen für eine Präferenzbehandlung im Zeitpunkt der Wareneinfuhr tatsächlich erfüllt waren (vgl. ASA 74 246 E. 3). Das war hier unbestrittenermassen so. Im Streit steht vor Bundesgericht nur noch, ob in diesem Fall ein Teilerlass erfolgen kann, wie die Oberzolldirektion argumentiert, oder ob bei kumulativem Vorliegen sämtlicher Bedingungen ausschliesslich ein vollständiger Nachlass möglich ist, wie die Rekurskommission erwogen hat.</w:t>
      </w:r>
    </w:p>
    <w:p>
      <w:r>
        <w:rPr>
          <w:b/>
        </w:rPr>
        <w:t>E. 2.3</w:t>
      </w:r>
    </w:p>
    <w:p>
      <w:r>
        <w:t>Der Auffassung der Vorinstanz kann nicht gefolgt werden. Sie verstösst gegen den klaren Wortlaut von Art. 127 Abs. 1 ZG . Die Lehre geht ebenfalls davon aus, dass es den zuständigen Behörden nicht verwehrt sein soll, je nach den konkreten Umständen des Einzelfalls nur einen Teilnachlass zu gewähren (vgl. insb. Blumenstein, a.a.O., S. 45; Hans Beat Noser, Der Zollnachlass nach Art. 127 ZG - wozu, wie, wann ?, Zollrundschau 4/1990, S. 48). Diese Lösung erweist sich auch von der Sache her als zutreffend, denn es liegt auf der Hand, dass der besonderen Härte des Bezugs in gewissen Fällen bereits durch einen blossen Teilnachlass hinreichend Rechnung getragen wird. Zu Unrecht sieht die Rekurskommission darin eine gesetzeswidrige Ermessensausübung. Zwar besteht ein Rechtsanspruch auf den Zollnachlass und kann dieser Anspruch gegebenenfalls mit Verwaltungsgerichtsbeschwerde beim Bundesgericht durchgesetzt werden, aber nur insoweit, als die gesetzlichen Voraussetzungen erfüllt sind. M.a.W. richtet sich das Mass des Nachlasses nach der Intensität des Erlassgrundes im Einzelfall (vgl. Blumenstein, a.a.O., S. 45). Dabei ist u.a. zu prüfen, inwiefern die irrtümliche Abfertigung zum Normaltarif auf einem entschuldbaren Verfahrensversäumnis oder auf mangelnder Sorgfalt des Zollpflichtigen beruht. Das steht nicht nur im Einklang mit dem Gesetzeswortlaut, sondern auch mit dem Selbstverantwortlichkeitsprinzip und dem Gebot rechtsgleicher Behandlung (vgl. zum Ganzen ASA 74 246 E. 2.4, 3.3 u. 3.5).</w:t>
      </w:r>
    </w:p>
    <w:p>
      <w:r>
        <w:rPr>
          <w:b/>
        </w:rPr>
        <w:t>E. 2.4</w:t>
      </w:r>
    </w:p>
    <w:p>
      <w:r>
        <w:t>Ob die Oberzolldirektion der Beschwerdegegnerin zu Recht nicht weniger als 90 % des Differenzbetrages zwischen Normal- und Präferenztarif erlassen hat, kann hier offen bleiben, da vor Bundesgericht nur noch der erstinstanzlich nicht erlassene Teil dieses Betrages im Streit steht (vgl. E. 2.2 hiervor).</w:t>
      </w:r>
    </w:p>
    <w:p>
      <w:r>
        <w:rPr>
          <w:b/>
        </w:rPr>
        <w:t>E. 3</w:t>
      </w:r>
    </w:p>
    <w:p>
      <w:r>
        <w:t>Nach dem Gesagten ist der angefochtene Entscheid aufzuheben und der erstinstanzliche Entscheid zu bestätigen. Aufgrund der gegebenen Verhältnisse ist auf die Erhebung einer Gerichtsgebühr zu verzichten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