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2A.533/1999 vom 1. Februar 2000</w:t>
      </w:r>
    </w:p>
    <w:p>
      <w:r>
        <w:t>Bundesgericht, 2000-02-01, DE</w:t>
      </w:r>
    </w:p>
    <w:p>
      <w:r>
        <w:rPr>
          <w:b/>
        </w:rPr>
        <w:t xml:space="preserve">Quelle: </w:t>
      </w:r>
      <w:r>
        <w:t>https://mcp.opencaselaw.ch/entscheid/bger_2A.533_1999</w:t>
      </w:r>
    </w:p>
    <w:p>
      <w:r>
        <w:t>FR: TF 2A.533/1999 du 1 février 2000</w:t>
      </w:r>
    </w:p>
    <w:p>
      <w:r>
        <w:t>IT: TF 2A.533/1999 del 1 febbraio 2000</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124 II 361 E. 1a; 123 II 145 E. 1b, mit Hinweisen).</w:t>
      </w:r>
    </w:p>
    <w:p>
      <w:r>
        <w:t>b) Gemäss Art. 7 ANAG hat der ausländische Ehe-gatte eines Schweizer Bürgers Anspruch auf Erteilung und Verlängerung der Aufenthaltsbewilligung (Abs. 1 erster Satz); der Anspruch erlischt, wenn ein Ausweisungsgrund vorliegt (Abs. 1 dritter Satz). Kein Anspruch besteht, wenn die Ehe eingegangen worden ist, um die Vorschriften über Aufenthalt und Niederlassung von Ausländern und namentlich jene über die Begrenzung der Zahl der Ausländer zu umgehen (Abs. 2). Für die Zulässigkeit der Verwaltungsgerichtsbeschwerde kommt es nur darauf an, ob formell eine eheliche Beziehung besteht. Die Frage, ob im konkreten Fall die Voraussetzungen zur Verfolgung des Anspruches erfüllt sind, namentlich ob wegen einer Scheinehe eine Ausnahme vorliegt, ist materieller Natur ( BGE 120 Ib 16 E. 2b). Auf die Verwaltungsgerichtsbeschwerde der miteinander verheirateten Beschwerdeführer ist daher einzutreten.</w:t>
      </w:r>
    </w:p>
    <w:p>
      <w:r>
        <w:rPr>
          <w:b/>
        </w:rPr>
        <w:t>E. 2</w:t>
      </w:r>
    </w:p>
    <w:p>
      <w:r>
        <w:t>a) Die Beschwerdeführer machen zunächst geltend, die erstinstanzliche Verfügung der Fremdenpolizei sei unter Verletzung des Anspruchs auf rechtliches Gehör zustandegekommen. Das Verwaltungsgericht hat diese Frage offen gelassen, da der Verfahrensmangel jedenfalls im Rekursverfahren vor dem Departement für Justiz und Sicherheit geheilt worden sei. Es entspricht der bundesgerichtlichen Rechtsprechung, dass eine Gehörsverletzung geheilt werden kann, wenn der Rechtsmittelinstanz freie Kognition in Rechts- und Sachverhaltsfragen zukommt und sich der Betroffene im Rechtsmittelverfahren umfassend äussern kann ( BGE 122 II 274 E. 6 S. 285).</w:t>
      </w:r>
    </w:p>
    <w:p>
      <w:r>
        <w:t>b) In formeller Hinsicht berufen sich die Beschwerdeführer weiter darauf, dass sie bei der Befragung durch die Kantonspolizei nicht auf ihre Rechte und Pflichten, namentlich nicht auf das Zeugnisverweigerungsrecht, aufmerksam gemacht worden seien. Indessen sind sie nicht als Zeugen einvernommen worden, und es steht ihnen ein Aussageverweigerungsrecht umso weniger zu, als sie zur Mitwirkung bei der Sachverhaltsabklärung und zur wahrheitsgetreuen Auskunft verpflichtet sind ( Art. 3 Abs. 2 ANAG ; § 12 Abs. 3 des Thurgauer Gesetzes vom 23. Februar 1981 über die Verwaltungsrechtspflege).</w:t>
      </w:r>
    </w:p>
    <w:p>
      <w:r>
        <w:rPr>
          <w:b/>
        </w:rPr>
        <w:t>E. 3</w:t>
      </w:r>
    </w:p>
    <w:p>
      <w:r>
        <w:t>a) Nach Art. 7 Abs. 2 ANAG hat der ausländische Ehegatte eines Schweizer Bürgers dann keinen Anspruch auf die ihm nach Art. 7 Abs. 1 ANAG grundsätzlich zustehende Erteilung und Verlängerung der Aufenthaltsbewilligung, wenn die Ehe eingegangen worden ist, um die Vorschriften über Aufenthalt und Niederlassung von Ausländern zu umgehen. Dass Ehegatten mit der Heirat nicht eine eheliche Lebensgemeinschaft begründen, sondern die Vorschriften über Aufenthalt und Niederlassung von Ausländern umgehen wollen, entzieht sich in der Regel dem direkten Beweis und kann diesfalls, wie das bereits früher bei der Bürgerrechtsehe zutraf (vgl. dazu BGE 98 II 1 ),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121 II 1 E. 2b; 121 II 97 E. 3b; 119 Ib 417 E. 4b; vgl. BGE 98 II 1 E. 2c mit Hinweisen).</w:t>
      </w:r>
    </w:p>
    <w:p>
      <w:r>
        <w:t>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 BGE 121 II 97 E. 3b in fine; vgl. BGE 98 II 1 E. 1b).</w:t>
      </w:r>
    </w:p>
    <w:p>
      <w:r>
        <w:t>b) Das Verwaltungsgericht gelangte im angefochte-nen Urteil zur Auffassung, es liege eine Scheinehe vor. Es stützte sich dabei auf die bisherige Aktenlage, ohne eigene Abklärungen vorzunehmen. Für das Vorliegen einer Scheinehe hielt es folgende Indizien fest:</w:t>
      </w:r>
    </w:p>
    <w:p>
      <w:r>
        <w:t>- Der Beschwerdeführer habe zum Zeitpunkt der Eheschliessung über kein Anwesenheitsrecht in der Schweiz verfügt. Er habe nach Ablauf der Saisonbewilligung ausreisen müssen, sei wieder eingereist und habe ein Asylgesuch gestellt, welches am 8. Juli 1997 abgewiesen worden sei. Zur Heirat sei es gekommen, als seine Ausschaffung drohte, nachdem die Behörden des Kantons Jura am 21. April 1998 bei den jugoslawischen Behörden die Ausstellung eines Laissez-passer beantragt hätten.</w:t>
      </w:r>
    </w:p>
    <w:p>
      <w:r>
        <w:t>- Der Beschwerdeführer habe seine Ehefrau im April 1997 kennengelernt und sei schon kurze Zeit danach, nämlich am 18. Juli 1997, via Mazedonien in den Kosovo geflogen, um sich Papiere für die Heirat zu besorgen.</w:t>
      </w:r>
    </w:p>
    <w:p>
      <w:r>
        <w:t>- Die Hochzeitsfeier habe sich auf einen Apéro auf dem Balkon der Wohnung der Ehefrau beschränkt; an der Trauung hätten neben den Ehegatten einzig die beiden Trauzeugen teilgenommen.</w:t>
      </w:r>
    </w:p>
    <w:p>
      <w:r>
        <w:t>- Die Ehefrau sei vierzehn Jahre älter als der Ehemann. Dieser habe bei der polizeilichen Befragung noch nicht einmal den Geburtstag seiner Frau nennen können. Er habe auf die Frage, weshalb er geheiratet habe, schlicht erklärt, "damit er eine Frau habe" und "einmal müsse der Mensch ja heiraten".</w:t>
      </w:r>
    </w:p>
    <w:p>
      <w:r>
        <w:t>- Wie schon vor der Hochzeit sei der Beschwerdeführer auch nachher im Hôtel du Lac seines Freundes C.________ in X.________ angetroffen worden; das weise darauf hin, dass er weiterhin nicht bei seiner Frau wohne, zumal er eingeräumt habe, bei C.________ gegen Kost und Logis gearbeitet zu haben; sein Lebensmittelpunkt liege mit grösster Wahrscheinlichkeit weiterhin in der Westschweiz und nicht bei der Ehefrau.</w:t>
      </w:r>
    </w:p>
    <w:p>
      <w:r>
        <w:t>c) Mit der Verwaltungsgerichtsbeschwerde an das Bundesgericht legen die Beschwerdeführer schriftliche Erklärungen verschiedener Personen vor, welche die Eheleute kennen und sich über die eheliche Beziehung äussern. Beigefügt sind auch Fotografien, die dem Verwaltungsgericht noch nicht vorgelegt wurden und welche die Eheleute allein oder im Bekanntenkreis, teilweise auf Ausflügen, zeigen. Die Möglichkeit, vor Bundesgericht im Rahmen der Verwaltungsgerichtsbeschwerde neue Beweismittel vorzulegen, ist indessen weitgehend eingeschränkt, wenn als Vorinstanz eine richterliche Behörde entschieden hat. Das folgt daraus, dass das Bundesgericht an die Feststellung des Sachverhalts gebunden ist, soweit dieser durch eine richterliche Behörde nicht offensichtlich unrichtig, unvollständig oder unter Verletzung wesentlicher Verfahrensbestimmungen ermittelt worden ist ( Art. 105 Abs. 2 OG ). Nach der Rechtsprechung sind neue Beweismittel lediglich dann zulässig, wenn sie die Vorinstanz von Amtes wegen hätte erheben sollen und deren Nichterheben eine Verletzung wesentlicher Verfahrensvorschriften darstellt ( BGE 121 II 97 E. 1c, mit Hinweisen). Das Verwaltungsgericht konnte nicht wissen, dass es die fraglichen Fotografien gibt; ebenso wenig hatte es Kenntnis von den Bekannten der Beschwerdeführer, welche sachdienliche Angaben machen könnten. Es wäre Sache der Beschwerdeführer gewesen, diese Beweisanträge vor Verwaltungsgericht zu stellen; im bundesgerichtlichen Verfahren können sie das grundsätzlich nicht mehr nachholen.</w:t>
      </w:r>
    </w:p>
    <w:p>
      <w:r>
        <w:t>d) aa) Das Bundesgericht hat auch ohne Berücksichtigung der neu vorgebrachten Beweismittel den Sachverhalt im Rahmen von Art. 105 Abs. 2 OG zu überprüfen. Das Verwaltungsgericht stützt sich bei seinem Urteil auf eine Reihe von Indizien, die geeignet sind, eine Scheinehe nachzuweisen. Es hat allerdings den Beweisantrag übergangen, die direkte Vorgesetzte der Ehefrau (Chefin de Service im Hotel T.________ in W.________) zu befragen. Diese ist von den Beschwerdeführern zum Beweis dafür angerufen worden, dass der Eheschluss am Arbeitsplatz der Ehefrau entgegen der Annahme des Departements für Justiz und Sicherheit bekannt und der Ehemann der direkten Vorgesetzten der Ehefrau gar vorgestellt worden sei. Trifft dies zu, so würde sich zwar nichts daran ändern, dass die Ehefrau dem Geschäftsführer des Hotels ihre Heirat nicht gemeldet hat, wie das Verwaltungsgericht in seiner Vernehmlassung an das Bundesgericht einwendet. Doch könnte es gleichwohl gegen die Annahme einer Scheinehe sprechen, wenn der Beschwerdeführer am Arbeitsplatz der Ehefrau als ihr Ehemann bekannt ist.</w:t>
      </w:r>
    </w:p>
    <w:p>
      <w:r>
        <w:t>bb) Das Verwaltungsgericht zieht aus dem Umstand, dass der Beschwerdeführer am 11. August 1998 im Hotel seines Freundes in X.________ angetroffen worden sei und dabei angegeben habe, seinem Freund geholfen, dafür aber kein Geld, sondern nur Kost und Logis erhalten zu haben, den weitreichenden Schluss, sein Lebensmittelpunkt befinde sich mit grösster Wahrscheinlichkeit weiterhin in der Westschweiz und nicht bei seiner Ehefrau. Das Verwaltungsgericht lässt freilich unerwähnt, dass nach einer Aktennotiz der kantonalen Fremdenpolizei bei der Einwohnerkontrolle am Wohnort der Ehegattin in Erfahrung gebracht werden konnte, der Beschwerdeführer werde dort hin und wieder gesehen; allerdings sei nicht bekannt, ob er sich ständig bei ihr aufhalte. Aktenkundig ist damit, dass der Beschwerdeführer einmal in X.________, "hin und wieder" aber auch in Z.________ am Wohnort der Ehefrau angetroffen wurde. Bei dieser Sachlage lässt sich ohne weitere Abklärungen der Schluss nicht ziehen, der Lebensmittelpunkt liege in der Westschweiz, selbst wenn die Aussage des Beschwerdeführers dahin zu interpretieren sein mag, dass er sich nicht nur einmalig bei seinem Freund aufgehalten haben dürfte.</w:t>
      </w:r>
    </w:p>
    <w:p>
      <w:r>
        <w:t>cc) Am Rande ist zu erwähnen, dass auf den Fotografien der Hochzeitsfeier - die im Übrigen schon dem Verwaltungsgericht vorlagen - nicht nur die Eheleute sowie die Trauzeugen, wie im angefochtenen Urteil vermerkt, sondern zwei weitere Personen zu sehen sind. Bei der polizeilichen Befragung hat der Beschwerdeführer sodann nicht nur erklärt, er habe geheiratet, "damit er eine Frau habe" und "einmal müsse der Mensch ja heiraten", sondern zudem, die Frau "gefalle ihm und sie kämen gut miteinander aus". Die fraglichen Aussagen sind deshalb nicht ein klares Indiz dafür, dass der Beschwerdeführer eine wirkliche Lebensgemeinschaft nicht gewollt hätte.</w:t>
      </w:r>
    </w:p>
    <w:p>
      <w:r>
        <w:t>dd) Kann ohne weitere Abklärung nicht angenommen werden, die Beschwerdeführer würden nicht zusammen leben, mögen die vorliegenden Indizien zwar nahelegen, dass die Ehe auch abgeschlossen wurde, um dem ausländischen Ehegatten den Aufenthalt in der Schweiz zu ermöglichen; sie erlauben aber nicht den weiteren Schluss, dass eine wirkliche Lebensgemeinschaft nicht gewollt ist. Die Verwaltungsgerichtsbeschwerde muss deshalb gutgeheissen, das angefochtene Urteil aufgehoben und die Sache zu weiterer Abklärung an die Vorinstanz zurückgewiesen werden. Dabei steht nichts entgegen, die im bundesgerichtlichen Verfahren neu eingereichten Beweismittel zu berücksichtigen, da der Entscheid der Vorinstanz aus einem anderen Grund aufgehoben werden musste ( BGE 107 Ib 167 E. 1b in fine, S. 170).</w:t>
      </w:r>
    </w:p>
    <w:p>
      <w:r>
        <w:rPr>
          <w:b/>
        </w:rPr>
        <w:t>E. 4</w:t>
      </w:r>
    </w:p>
    <w:p>
      <w:r>
        <w:t>Bei diesem Verfahrensausgang sind keine Kosten zu erheben ( Art. 156 Abs. 2 OG ). Hingegen hat der Kanton Thurgau die Beschwerdeführer für das bundesgerichtliche Verfahren zu entschädigen ( Art. 159 Abs. 2 OG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