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2A.532/2000 vom 12. März 2001</w:t>
      </w:r>
    </w:p>
    <w:p>
      <w:r>
        <w:t>Bundesgericht, 2001-03-12, DE</w:t>
      </w:r>
    </w:p>
    <w:p>
      <w:r>
        <w:rPr>
          <w:b/>
        </w:rPr>
        <w:t xml:space="preserve">Quelle: </w:t>
      </w:r>
      <w:r>
        <w:t>https://mcp.opencaselaw.ch/entscheid/bger_2A.532_2000</w:t>
      </w:r>
    </w:p>
    <w:p>
      <w:r>
        <w:t>FR: TF 2A.532/2000 du 12 mars 2001</w:t>
      </w:r>
    </w:p>
    <w:p>
      <w:r>
        <w:t>IT: TF 2A.532/2000 del 12 marzo 2001</w:t>
      </w:r>
    </w:p>
    <w:p>
      <w:pPr>
        <w:pStyle w:val="Heading2"/>
      </w:pPr>
      <w:r>
        <w:t>Regeste</w:t>
      </w:r>
    </w:p>
    <w:p>
      <w:r>
        <w:t>Wirtschaft</w:t>
      </w:r>
    </w:p>
    <w:p>
      <w:pPr>
        <w:pStyle w:val="Heading2"/>
      </w:pPr>
      <w:r>
        <w:t>Erwägungen</w:t>
      </w:r>
    </w:p>
    <w:p>
      <w:r>
        <w:rPr>
          <w:b/>
        </w:rPr>
        <w:t>E. 1</w:t>
      </w:r>
    </w:p>
    <w:p>
      <w:r>
        <w:t>a) Die Verwaltungsgerichtsbeschwerde richtet sich gegen eine auf öffentliches Recht des Bundes gestützte Verfügung im Sinne von Art. 5 VwVG , die von einer eidgenössischen Rekurskommission als Vorinstanz nach Art. 98 lit. e OG erlassen wurde. Ein Ausschlussgrund gemäss Art. 99 - 102 OG liegt nicht vor. Die Verwaltungsgerichtsbeschwerde ist damit zulässig. b) Das Eidgenössische Volkswirtschaftsdepartement (im Folgenden auch Departement) ist vorliegend als das in der Sache zuständige Departement gemäss Art. 103 lit. b OG befugt, Verwaltungsgerichtsbeschwerde beim Bundesgericht zu führen. Das Beschwerderecht der Bundesbehörden soll den richtigen und einheitlichen Vollzug des Bundesverwaltungsrechts sicherstellen. Weiterer Voraussetzungen bedarf die Beschwerdelegitimation nicht ( BGE 125 II 633 E. 1a S. 635, mit Hinweisen). Auf die Beschwerde ist daher einzutreten. c) 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d)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Hinweisen).</w:t>
      </w:r>
    </w:p>
    <w:p>
      <w:r>
        <w:rPr>
          <w:b/>
        </w:rPr>
        <w:t>E. 2</w:t>
      </w:r>
    </w:p>
    <w:p>
      <w:r>
        <w:t>a) Teilzollkontingente für Tiere der Pferdegattung (ohne Zuchttiere, Kleinponys, Esel, Maultiere und Maulesel) werden versteigert (Art. 4 Abs. 1 lit. a PfEV). Jede bietende Person kann für die ausgeschriebene Menge maximal fünf Gebote mit verschiedenen Preisen und Mengen einreichen ( Art. 17 Abs. 2 AEV ). Die Gebote können nach Ablauf der Einreichungsfrist weder geändert noch zurückgezogen werden ( Art. 17 Abs. 3 AEV ). Die Zuteilung erfolgt, beginnend beim höchsten gebotenen Preis, in abnehmender Reihenfolge der gebotenen Preise ( Art. 18 Abs. 1 AEV ). Auf dem tiefsten noch zu berücksichtigenden Preis wird gegebenenfalls eine proportional gekürzte Menge zugeteilt ( Art. 18 Abs. 2 AEV ). Der Zuschlagspreis entspricht dem Gebotspreis ( Art. 19 Abs. 1 AEV ). b) Die Vorinstanz hat erwogen, dieses Zuteilungssystem schliesse im Prinzip aus, dass die fünf Offerten einer bietenden Person alternativ verstanden werden könnten. Jedem Gebot komme auf Grund dieser Regeln eine relativ selbständige Bedeutung zu, weshalb die maximal fünf Steigerungsgebote pro Person als kumulative Angebote zu behandeln seien (vgl. S. 8/9 des angefochtenen Entscheides). Insoweit besteht über die Auslegung der einschlägigen Verordnungsvorschriften zwischen dem Departement und der Vorinstanz keine Divergenz. Zu Recht unstreitig ist ferner, dass die im Privatrecht verankerten Grundsätze über Willensmängel ( Art. 23 ff. OR ) als Ausdruck allgemeiner Rechtsgrundsätze auch im Verwaltungsrecht anwendbar sind ( BGE 98 V 255 E. 2 S. 257; 102 Ib 115 E. 2 S. 118 f. ; 122 I 328 E. 7b S. 340; Imboden/Rhinow, Schweizerische Verwaltungsrechtsprechung, Basel und Stuttgart 1976, Band I Nr. 2 V/d S. 12), und dass Willensmängel von Privaten bei Erklärungen, die öffentlich-rechtliche Wirkungen der hier in Frage stehenden Art auslösen, nur dann beachtlich sind, wenn der zugrunde liegende Irrtum nicht von der Person, an die sich der beanstandete Verwaltungsakt richtet, verschuldet worden ist ( BGE 98 V 255 E. 2 S. 258; 102 Ib 115 E. 4 S. 121 f.; vgl. auch Rhinow/Krähenmann, Schweizerische Verwaltungsrechtsprechung, Ergänzungsband, Basel und Frankfurt 1990, Nr. 2 V/d S. 6/7; Imboden/Rhinow, a.a.O.). c) Streitig ist, ob der Beschwerdegegner einem "entschuldbaren" Irrtum zum Opfer gefallen ist. Die Vorinstanz hat dies bejaht, im Wesentlichen mit der Begründung, die vom Beschwerdegegner vorgenommene Auslegung der Ausschreibungsbekanntmachung erscheine "ohne Weiteres als nachvollziehbar", zumal das Bundesamt den Verordnungstext mit dem Satz "Jedes Gebot kann auf die gesamt mögliche Zuteilmenge lauten" ergänzt habe. Das vom Bundesamt angewandte Versteigerungssystem sei sodann auch nicht mit einem Berechnungsbeispiel erläutert worden, und auch das Gebotsformular habe keinen Hinweis enthalten, dass die Offerten addiert würden (S. 10 des angefochtenen Entscheides). Das Departement macht demgegenüber geltend, der fragliche Zusatz in der Ausschreibungsbekanntmachung vermöge keinen Irrtum zu begründen, sondern kläre lediglich eine allfällige Unsicherheit bezüglich des kumulativen Zuteilungssystems. Der Schluss, der Beschwerdegegner habe sich in einem entschuldbaren Irrtum befunden, sei haltlos und stehe zudem im Widerspruch zur Rechtsprechung der Rekurskommission in einem analogen Fall. d) Die Versteigerung von Zollkontingenten gemäss Art. 16 ff. AEV folgt - analog dem Steigerungskauf ( Art. 229 ff. OR ) - einem bestimmten vereinfachenden und beschleunigenden Mechanismus, der durch sich überbietende Angebote (Offerten) und den Zuschlag charakterisiert wird (vgl. Anton Pestalozzi, Wann gelten die Sonderbestimmungen des Versteigerungsrechtes ?, in AJP 8/2000 S. 984). Für die Irrtumsanfechtung eines Zuschlags bleibt daher wenig Raum. Die Bindung des Bieters an die Versteigerungsbedingungen setzt nach dem Recht des Steigerungskaufs immerhin voraus, dass alle Essentialia des Geschäfts objektiv feststehen und nur die Bestimmung des Preises offen ist (vgl. Anton Pestalozzi, Der Steigerungskauf, Zürich 1997, N. 1021 S. 175). Sodann darf es nicht an der nach den Umständen gebotenen Aufklärung des Publikums fehlen; eine Unterlassung kann zur Aufhebung des Zuschlages wegen Willensmangels führen (Pestalozzi, a.a.O., N. 619 S. 114). Diese Grundsätze betreffend die Gestaltung von Versteigerungsbedingungen bzw. die Aufklärungspflicht des Versteigerers können auch bei der Beurteilung des Ablaufs der vorliegenden Versteigerung herangezogen werden (vgl. E. 2b). e) Aus den in der Ausschreibung enthaltenen Erläuterungen geht nicht mit der gebotenen Klarheit hervor, dass für die Zuteilung eine Mehrzahl von Steigerungsangeboten einer bietenden Person kumulativ berücksichtigt wird. Das mag sich zwar aus den Ausführungen unter Ziff. 6 ("Zuteilung") ableiten lassen, doch wird eine solche Interpretation in Frage gestellt durch den Hinweis in Ziff. 5 ("Steigerungsgebote"), wonach "jedes Gebot auf die gesamte mögliche Zuteilmenge (...)" lauten könne. Wohl hat dieser Hinweis, wie das Departement in seiner Beschwerde (S. 5) zutreffend darlegt, auch bei kumulativer Geltung der Angebote einen bestimmten Sinn. Er konnte aber in der gegebenen Form bei mit dem Verfahren nicht vertrauten Anbietern eine falsche Vorstellung über die Bedeutung einer allfälligen Mehrzahl von Angeboten erwecken. Mit dieser Möglichkeit war umso eher zu rechnen, als erstmals auch nicht kommerziell im Pferdeimport tätige Anbieter an der Versteigerung teilnehmen konnten (vgl. demgegenüber noch den Wortlaut von Art. 7 PEAV). Wie ein weiterer beim Bundesgericht hängiger Beschwerdefall zeigt, ist (mindestens) noch ein anderer Anbieter dem gleichen Irrtum erlegen. Das Bundesamt hat denn auch im folgenden Jahr seine Ausschreibung durch ein entsprechendes Zahlenbeispiel verdeutlicht (vgl. Ausschreibungsbekanntmachung Nr. 1/2001 vom 1. September 2000, S. 3). Wohl wäre es für unerfahrene bzw. mit solchen Zollkontingentsversteigerungen nicht vertraute Anbieter ratsam gewesen, sich bei der zuständigen Auskunftsperson des Bundesamtes (deren Telefonnummer in der Ausschreibungsbekanntmachung enthalten war), über die Modalitäten der Versteigerung näher ins Bild zu setzen. Das Bundesamt musste vorliegend jedoch davon ausgehen, dass der von der "Ausschreibungsbekanntmachung Nr. 1/2000" angesprochene Interessentenkreis sich bei der Gestaltung der Steigerungsangebote am Wortlaut dieser Verlautbarung und an dem von der Behörde offenbar selber entworfenen "Gebotsformular" (welches keinen Hinweis auf die kumulative Behandlung der Offerten enthält) orientieren und nicht zusätzlich noch die einschlägigen Verordnungsvorschriften konsultieren würde. Die Rekurskommission verstiess deshalb nicht gegen Bundesrecht, wenn sie die angefochtene Zuteilung auf Grund des erwähnten, einer falschen Auslegung zugänglichen Satzes in dem Sinne korrigierte, wie der Beschwerdegegner sein Angebot gutgläubig verstanden hatte. f) Der Hinweis des Departements auf einen unveröffentlichten Entscheid der Rekurskommission vom 3. Juli 2000 ist unbehelflich. Wieweit es sich überhaupt um einen vergleichbaren Sachverhalt handelte (was die Rekurskommission bestreitet), kann dahingestellt bleiben. Ein einzelner Beschwerdeentscheid begründet noch nicht ohne weiteres eine "Praxis", von welcher die Rekurskommission aus Gründen der Rechtssicherheit nur unter qualifizierten Voraussetzungen abweichen dürfte (vgl. BGE 126 I 122 E. 5 S. 129; 125 II 152 E. 4c/aa S. 162); und das Bundesgericht wäre an eine bestehende Rechtsprechung der Rekurskommission ohnehin nicht gebunden (vgl. E. 1d). Massgebend ist, ob im hier zu beurteilenden Einzelfall ausreichende Gründe für die Bejahung und Berücksichtigung eines Willensmangels bestanden. Dies durfte die Rekurskommission wie erwähnt ohne Verletzung von Bundesrecht bejahen.</w:t>
      </w:r>
    </w:p>
    <w:p>
      <w:r>
        <w:rPr>
          <w:b/>
        </w:rPr>
        <w:t>E. 3</w:t>
      </w:r>
    </w:p>
    <w:p>
      <w:r>
        <w:t>Die Verwaltungsgerichtsbeschwerde des Eidgenössischen Volkswirtschaftsdepartements ist nach dem Gesagten als unbegründet abzuweisen. Da das Departement Vermögensinteressen verfolgt, ist ihm eine Gerichtsgebühr aufzuerlegen ( Art. 156 Abs. 2 OG ). Es hat zudem den anwaltlich vertretenen Beschwerdegegner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