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2A.529/2004 vom 9. März 2005</w:t>
      </w:r>
    </w:p>
    <w:p>
      <w:r>
        <w:t>Bundesgericht, 2005-03-09, DE</w:t>
      </w:r>
    </w:p>
    <w:p>
      <w:r>
        <w:rPr>
          <w:b/>
        </w:rPr>
        <w:t xml:space="preserve">Quelle: </w:t>
      </w:r>
      <w:r>
        <w:t>https://mcp.opencaselaw.ch/entscheid/bger_2A.529_2004</w:t>
      </w:r>
    </w:p>
    <w:p>
      <w:r>
        <w:t>FR: TF 2A.529/2004 du 9 mars 2005</w:t>
      </w:r>
    </w:p>
    <w:p>
      <w:r>
        <w:t>IT: TF 2A.529/2004 del 9 marzo 2005</w:t>
      </w:r>
    </w:p>
    <w:p>
      <w:pPr>
        <w:pStyle w:val="Heading2"/>
      </w:pPr>
      <w:r>
        <w:t>Regeste</w:t>
      </w:r>
    </w:p>
    <w:p>
      <w:r>
        <w:t>Eintragung in das kantonale Anwaltsregister | Grundrecht</w:t>
      </w:r>
    </w:p>
    <w:p>
      <w:pPr>
        <w:pStyle w:val="Heading2"/>
      </w:pPr>
      <w:r>
        <w:t>Erwägungen</w:t>
      </w:r>
    </w:p>
    <w:p>
      <w:r>
        <w:rPr>
          <w:b/>
        </w:rPr>
        <w:t>E. 1</w:t>
      </w:r>
    </w:p>
    <w:p>
      <w:r>
        <w:t>Streitgegenstand bildet die Frage, ob die Voraussetzungen des Anwaltsgesetzes für die Eintragung des Beschwerdeführers in das Anwaltsregister, wie sie in der bundesgerichtlichen Rechtsprechung und insbesondere im Entscheid vom 29. Januar 2004 betreffend den gleichen Beschwerdeführer ( BGE 130 II 87 ) bezüglich des Erfordernisses der Unabhängigkeit des Anwaltes umschrieben worden sind, aufgrund der ergänzenden Angaben des Beschwerdeführers nunmehr als eingehalten angesehen werden können. Diese Frage beschlägt Bundesrecht ( Art. 6 ff. BGFA , Art. 97 Abs. 1 OG in Verbindung mit Art. 5 VwVG ). Der angefochtene Beschluss kann daher, da die Voraussetzungen gemäss Art. 98 ff. OG erfüllt sind, mit Verwaltungsgerichtsbeschwerde angefochten werden. Der Beschwerdeführer ist hierzu legitimiert ( Art. 103 lit. a OG ). Auf die form- und fristgerecht erhobene Beschwerde ist einzutreten.</w:t>
      </w:r>
    </w:p>
    <w:p>
      <w:r>
        <w:rPr>
          <w:b/>
        </w:rPr>
        <w:t>E. 2.1</w:t>
      </w:r>
    </w:p>
    <w:p>
      <w:r>
        <w:t>Gemäss Art. 6 Abs. 2 BGFA trägt die Aufsichtsbehörde den Anwalt in das Anwaltsregister ein, wenn sie festgestellt hat, dass die Voraussetzungen gemäss Art. 7 und 8 des Gesetzes erfüllt sind. Die in Art. 7 BGFA genannten fachlichen Voraussetzungen (abgeschlossenes Studium, mindestens einjähriges Praktikum) werden vom Beschwerdeführer unbestrittenermassen erfüllt. Was die in Art. 8 BGFA festgehaltenen persönlichen Voraussetzungen betrifft, so ist einzig streitig, ob der Beschwerdeführer im Sinne von Art. 8 Abs. 1 lit. d BGFA in der Lage ist, den Anwaltsberuf unabhängig auszuüben, insbesondere was den allfälligen Einfluss eines Arbeitgebers betrifft. In dem zum Bundesgerichtsurteil vom 29. Januar 2004 führenden Verfahren war die Erfüllung dieser letzteren Voraussetzung aufgrund der damals vorliegenden Angaben über das Arbeitsverhältnis des Beschwerdeführers nicht dargetan, weshalb die Verwaltungsgerichtsbeschwerde des Anwaltsverbandes gutgeheissen und der den Registereintrag bewilligende Entscheid der Verwaltungskommission aufgehoben wurde, dies aber verbunden mit dem Vorbehalt, dass die Löschung des bereits vollzogenen Eintrages unterbleiben könne, sofern der Beschwerdeführer die notwendigen Angaben zu seiner Unabhängigkeit innert kurzer Zeit liefere und die Anforderungen gemäss Art. 8 Abs. 1 lit. d BGAF als erfüllt erschienen. Aufgrund der Erklärung der Arbeitgeberin des Beschwerdeführers vom 18. Februar 2004 erachtete die Verwaltungskommission die Unabhängigkeit der Berufsausübung in arbeitsvertraglicher Hinsicht nunmehr als gewährleistet. Dies wird vom Zürcher Anwaltsverband (Beschwerdegegner) zwar in Frage gestellt, doch besteht kein Anlass, in diesem Punkt von der Beurteilung der Vorinstanz abzuweichen. Wohl steht der Beschwerdeführer als Leiter der Rechtsabteilung der Bank, in der er angestellt ist, in Kontakt mit Anwälten und Gerichten, was eine klare Abgrenzung seiner privaten Anwaltstätigkeit umso mehr erfordert. Falls er aber - wovon heute auszugehen ist - private Mandate entsprechend den in der bundesgerichtlichen Rechtsprechung umschriebenen Grundsätzen (vgl. BGE 130 II 87 E. 4 - 6 S. 93 ff.) nur ausserhalb seines beruflichen Umfeldes übernimmt, erscheint die erforderliche Unabhängigkeit dennoch als gewahrt.</w:t>
      </w:r>
    </w:p>
    <w:p>
      <w:r>
        <w:rPr>
          <w:b/>
        </w:rPr>
        <w:t>E. 2.2</w:t>
      </w:r>
    </w:p>
    <w:p>
      <w:r>
        <w:t>Als unzureichend erachtete die Verwaltungskommission dagegen die Erklärungen des Beschwerdeführers über die getroffenen Vorkehrungen für die Aufbewahrung der ihm seitens der Klienten anvertrauten Vermögenswerte ( Art. 12 lit. h BGFA ). Bei dieser Vorschrift handelt es sich um eine Berufsregel, die für jeden eingetragenen Anwalt Geltung hat. Sie gehört aber nicht zu den gemäss Art. 7 und 8 BGFA für die Eintragung ins Register zu erfüllenden fachlichen und persönlichen Voraussetzungen, sondern sie stellt eine vom Anwalt dauerhaft zu befolgende Verhaltensnorm dar, deren Einhaltung nicht im Eintragungsverfahren zu prüfen ist. Zwar hat das Bundesgericht in seinem Entscheid vom 29. Januar 2004 im Zusammenhang mit der erforderlichen institutionellen Unabhängigkeit des Anwaltes auch auf die Notwendigkeit von Vorkehrungen für die korrekte Aufbewahrung von Vermögenswerten der Klienten hingewiesen (vgl. BGE 130 II 87 E. 6.3.2 S. 106 f.). Diese Erwägung stand aber im Zusammenhang mit der Abgrenzung der privaten Anwaltstätigkeit vom Einflussbereich des Arbeitgebers, und der Akzent lag darauf, die Notwendigkeit der Trennung der Vermögenswerte von Klienten und Arbeitgeber zu unterstreichen. Da der Beschwerdeführer seine Anwaltstätigkeit nicht in den Räumen der X.________ Bank (Schweiz) AG, sondern in seiner privaten Wohnliegenschaft ausüben will, bestehen hinsichtlich der Aufbewahrung anvertrauter Vermögenswerte keine besonderen Abgrenzungsprobleme gegenüber dem Herrschafts- und Einflussbereich des Arbeitgebers, welche es rechtfertigen würden, diese Frage als Teil der erforderlichen institutionellen Unabhängigkeit bereits im Rahmen des Eintragungsverfahrens zu prüfen. Es ist Sache des Beschwerdeführers und es liegt in seiner Hand, bei der Führung von privaten Mandaten die Berufsregel von Art. 12 lit. h BGFA über die Aufbewahrung von anvertrauten Vermögenswerten - deren Tragweite hier nicht weiter zu erörtern ist (vgl. dazu Walter Fellmann, in: Fellmann/Zindel [Hrsg], Kommentar zum Anwaltsgesetz, Zürich 2005, Rz. 150 ff. zu Art. 12 BGFA , S. 190 ff.) - korrekt zu befolgen.</w:t>
      </w:r>
    </w:p>
    <w:p>
      <w:r>
        <w:rPr>
          <w:b/>
        </w:rPr>
        <w:t>E. 2.3</w:t>
      </w:r>
    </w:p>
    <w:p>
      <w:r>
        <w:t>Schliesslich äusserte die Verwaltungskommission gewisse Zweifel an den vom Beschwerdeführer getroffenen organisatorischen Massnahmen hinsichtlich Telefon und Fax (S. 7/8 des angefochtenen Beschlusses). Sie erwog, der Beschwerdeführer habe im Rekursverfahren eine neue Telefonnummer (Mobilnummer) sowie eine neue Faxnummer angegeben, die in keinem elektronischen Verzeichnis überprüfbar seien. Hinsichtlich der Mobilnummer scheine fraglich, ob damit den Anforderungen des Bundesgerichts nach strikter räumlicher Trennung von Anwaltstätigkeit und unselbständiger Erwerbstätigkeit Genüge getan sei. Es sei wohl kaum vermeidbar, dass der Beschwerdeführer über die Mobilnummer auch an seinem Arbeitsplatz erreicht werden könne, wo er eigentlich keine Anwaltstätigkeit ausüben dürfte. Der Beschwerdeführer hält dem entgegen, dass er neben dem privaten Gerät mit der erwähnten Mobilnummer noch ein "Geschäftshandy" besitze. Anrufe auf dem privaten Gerät nehme er nur entgegen, wenn er sich ausserhalb der Büroräumlichkeiten befinde und nicht gerade für seine Arbeitgeberin tätig sei. Auf dieser Erklärung ist der Beschwerdeführer zu behaften. Damit erscheint die Unabhängigkeit der Berufsausübung auch unter diesem Gesichtswinkel als hinreichend gewährleistet.</w:t>
      </w:r>
    </w:p>
    <w:p>
      <w:r>
        <w:rPr>
          <w:b/>
        </w:rPr>
        <w:t>E. 3</w:t>
      </w:r>
    </w:p>
    <w:p>
      <w:r>
        <w:t>Der vorliegende Fall unterscheidet sich damit im Ergebnis nicht wesentlich von drei anderen Fällen, in denen das Bundesgericht für vollzeitlich im Rechtsdienst einer Versicherungsgesellschaft (Urteile 2A.101/2003 vom 13. Dezember 2003, 2A.109/2003 vom 29. Januar 2004) bzw. einer sonstigen grösseren Gesellschaft (Urteil 2A.111/2003 vom 29. Januar 2004) beschäftigte Juristen, welche nebenberuflich an ihrer privaten Wohnadresse als Anwalt tätig sein wollten, aufgrund entsprechender Ausgestaltung des Arbeitsvertrages die Eintragung ins Anwaltsregister zugelassen hat. Es besteht kein Grund, den vorliegenden Fall anders zu behandeln, weshalb die Verwaltungsgerichtsbeschwerde gutzuheissen und der angefochtene Entscheid aufzuheben ist. Damit bleibt es bei der von der Aufsichtskommission angeordneten Aufrechterhaltung des Eintrags im Anwaltsregister. Es ist Sache der Verwaltungskommission des Obergerichts, über die Kosten des vorinstanzlichen Verfahrens neu zu entscheiden.</w:t>
      </w:r>
    </w:p>
    <w:p>
      <w:r>
        <w:rPr>
          <w:b/>
        </w:rPr>
        <w:t>E. 4</w:t>
      </w:r>
    </w:p>
    <w:p>
      <w:r>
        <w:t>Entsprechend diesem Verfahrensausgang sind die bundesgerichtlichen Kosten dem kantonalen Anwaltsverband als unterliegendem Beschwerdegegner aufzuerlegen (Art. 156 in Verbindung mit Art. 153 und 153a OG ). Was die Frage der Parteientschädigung betrifft, hat der Beschwerdeführer seine Eingabe selber verfasst und hiefür nicht die Dienste eines Kollegen in Anspruch genommen. Die Voraussetzungen, unter denen ausnahmsweise auch dem in eigener Sache selbst handelnden Anwalt eine Parteientschädigung zuzusprechen ist ( BGE 129 V 113 E. 4.1 S. 116; 119 Ib 412 E. 3 S. 415; ferner BGE 113 Ib 353 E. 6b S. 356 f. und 110 V 72 E. 7 S. 81 f., 132 E. 4d S. 134 f.), erscheinen hier nicht als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