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2A.518/2005 vom 6. September 2005</w:t>
      </w:r>
    </w:p>
    <w:p>
      <w:r>
        <w:t>Bundesgericht, 2005-09-06, FR</w:t>
      </w:r>
    </w:p>
    <w:p>
      <w:r>
        <w:rPr>
          <w:b/>
        </w:rPr>
        <w:t xml:space="preserve">Quelle: </w:t>
      </w:r>
      <w:r>
        <w:t>https://mcp.opencaselaw.ch/entscheid/bger_2A.518_2005</w:t>
      </w:r>
    </w:p>
    <w:p>
      <w:r>
        <w:t>FR: TF 2A.518/2005 du 6 septembre 2005</w:t>
      </w:r>
    </w:p>
    <w:p>
      <w:r>
        <w:t>IT: TF 2A.518/2005 del 6 settembre 2005</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w:t>
      </w:r>
    </w:p>
    <w:p>
      <w:r>
        <w:t>Conformément à l' art. 7 al. 1 LSEE , le conjoint étranger d'un ressortissant suisse a droit à l'octroi et à la prolongation de l'autorisation de séjour. Pour juger de la recevabilité du recours de droit administratif, seule est déterminante la question de savoir si un mariage au sens formel existe ( ATF 126 II 265 consid. 1b p. 266). Bien qu'il y ait une procédure de divorce pendante, le recourant est marié avec une Suissesse. Son recours est donc recevable sous cet angle.</w:t>
      </w:r>
    </w:p>
    <w:p>
      <w:r>
        <w:rPr>
          <w:b/>
        </w:rPr>
        <w:t>E. 2</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127 II 49 consid. 5a p. 56 et la jurisprudence citée).</w:t>
      </w:r>
    </w:p>
    <w:p>
      <w:r>
        <w:t>L'existence d'un abus de droit découlant du fait de se prévaloir de l' art. 7 al. 1 LSEE ne peut en particulier être simplement déduite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 art. 7 al. 1 LSEE ( ATF 128 II 145 consid. 2.2 p. 151 et la jurisprudence citée).</w:t>
      </w:r>
    </w:p>
    <w:p>
      <w:r>
        <w:rPr>
          <w:b/>
        </w:rPr>
        <w:t>E. 3</w:t>
      </w:r>
    </w:p>
    <w:p>
      <w:r>
        <w:t>Le recourant a épousé Y.________ le 14 avril 2003. Entendue le 22 juin 2005 par la Commission cantonale de recours, la femme du recourant a prétendu qu'elle avait quitté son mari en juin 2003 déjà. L'autorité intimée a retenu que la vie commune des époux X.Y.________ avait "cessé définitivement en tous les cas depuis novembre 2003" et cela n'est pas contesté par le recourant. Y.________ a déjà ouvert une action en annulation de mariage le 16 décembre 2003 et elle a été déboutée. D'après la décision attaquée, elle a déclaré qu'elle excluait toute reprise de la vie commune et souhaitait entamer une procédure de divorce. Quant au recourant, il se borne à affirmer qu'il continue à aimer sa femme et souhaite ardemment reprendre la vie commune. Il n'invoque aucun élément concret et vraisemblable permettant de croire à une prochaine réconciliation et à une volonté réelle de reprise de la vie commune. Il n'allègue d'ailleurs pas avoir entrepris de démarches en ce sens. Dès lors, l'union des époux X.Y.________ apparaît à l'évidence vidée de toute substance. En se prévalant d'un mariage purement formel pour obtenir le renouvellement de son autorisation de séjour, le recourant a commis un abus de droit. C'est donc sans violer l' art. 7 al. 1 LSEE - ni d'ailleurs l' art. 8 par. 1 CEDH - que l'autorité intimée a confirmé le refus de renouveler l'autorisation de séjour de l'intéressé.</w:t>
      </w:r>
    </w:p>
    <w:p>
      <w:r>
        <w:t>Au demeurant, le recourant n'a pas besoin de rester en Suisse pour pouvoir se présenter à des audiences durant la procédure de divorce en cours. Pour ladite procédure, il peut se faire représenter par un mandataire ou effectuer en Suisse des séjours de nature touristique.</w:t>
      </w:r>
    </w:p>
    <w:p>
      <w:r>
        <w:rPr>
          <w:b/>
        </w:rPr>
        <w:t>E. 4</w:t>
      </w:r>
    </w:p>
    <w:p>
      <w:r>
        <w:t>Manifestement mal fondé, le recours doit être rejeté selon la procédure simplifiée de l' art. 36a OJ . Le présent arrêt rend sans objet la demande d'effet suspensif. Succombant, le recourant doit supporter les frais judiciaires ( art. 156 al. 1, 153 et 153a OJ ) et n'a pas droit à des dépens ( art. 159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