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2A.513/2000 vom 19. Dezember 2000</w:t>
      </w:r>
    </w:p>
    <w:p>
      <w:r>
        <w:t>Bundesgericht, 2000-12-19, FR</w:t>
      </w:r>
    </w:p>
    <w:p>
      <w:r>
        <w:rPr>
          <w:b/>
        </w:rPr>
        <w:t xml:space="preserve">Quelle: </w:t>
      </w:r>
      <w:r>
        <w:t>https://mcp.opencaselaw.ch/entscheid/bger_2A.513_2000</w:t>
      </w:r>
    </w:p>
    <w:p>
      <w:r>
        <w:t>FR: TF 2A.513/2000 du 19 décembre 2000</w:t>
      </w:r>
    </w:p>
    <w:p>
      <w:r>
        <w:t>IT: TF 2A.513/2000 del 19 dicembre 2000</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en vertu des art. 97 ss OJ ( ATF 122 II 403 consid. 1 p. 404/405; 119 Ib 33 consid. 1a p. 35; 118 Ib 81 consid. 1 p. 82). En tant qu'il vise à faire constater que la recourante remplit les conditions pour être exemptée des mesures de limitation, le présent recours, qui satisfait aux exigences formelles des art. 97ss OJ , est donc recevable.</w:t>
      </w:r>
    </w:p>
    <w:p>
      <w:r>
        <w:rPr>
          <w:b/>
        </w:rPr>
        <w:t>E. 2</w:t>
      </w:r>
    </w:p>
    <w:p>
      <w:r>
        <w:t>a) 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les conditions pour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voit bien intégré ne suffit pas, à lui seul, à constituer un cas d'extrême gravité; il faut encore que sa relation avec la Suisse soit si étroite qu'on ne saurait exiger qu'il aille vivre dans un autre pays, notamment dans son pays d'origine ( ATF 123 II 125 consid. 2 p. 126-127 et la jurisprudence citée).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112 et la jurisprudence citée). b) Les membres de missions diplomatiques et les fonctionnaires internationaux, titulaires d'une pièce de légitimation établie par le Département fédéral des affaires étrangères ( art. 4 al. 1 lettre a OLE ) ne peuvent bénéficier de la jurisprudence instaurée par l'arrêt Kaynak (TF 124 II 110 consid. 3 p. 113) à propos de séjours de longue durée en Suisse (dix ans et plus), du moment qu'ils doivent savoir que leur présence en Suisse est directement liée à la fonction qu'ils occupent. La durée de leur séjour n'est donc en principe pas déterminante, s'ils quittent leur fonction et sollicitent une autorisation de séjour fondée sur l'art. 13 lettre f OLE. Leur situation n'est en effet pas comparable à celle d'un requérant d'asile qui a quitté son pays d'origine dans d'autres circonstances et qui est contraint de rompre tout contact avec sa patrie ( ATF 123 II 125 consid. 3 p. 128; arrêts non publiés du 2 mars 1999 (2A. 431/1998) en la cause T.M. et du 9 juin 1998 (2A. 93/1998) en la cause L.; ATF 123 II 125 consid. 3 p. 128; Wurzburger, La jurisprudence récente du Tribunal fédéral en matière de police des étrangers, in RDAF 1997 p. 293 et la référence citée à la note 77). c) Il n'existe en l'espèce aucune circonstance exceptionnelle qui permettrait de déroger à la jurisprudence précitée. En effet, la recourante a choisi de faire une partie de ses études dans son pays d'origine et y est retournée pour y travailler le 25 août 1993. S'il paraît certain qu'elle a maintenu des liens étroits avec la Suisse, où elle a fait toute sa scolarité, il n'en demeure pas moins qu'elle a passé près de 9 ans en Indonésie, démontrant par-là qu'elle était parfaitement capable de s'y intégrer. Motivé pour des raisons économiques et familiales, son désir de revenir en Suisse est certes légitime, mais il ne saurait être traité comme un cas de rigueur, sur la base de l'art. 13 lettre f OLE. A cet égard, le certificat médical en langue anglaise qu'elle produit n'établit pas qu'elle devrait être soignée en Suisse pour dépression. Quant à l'état de santé de sa mère, il ne paraît pas non plus nécessiter qu'elle soit constamment présente à ses côtés. Dans ces conditions, la décision attaquée - aux considérants pertinents de laquelle il peut être renvoyé pour le surplus - n'a pas violé l'art. 13 lettre f OLE en refusant l'autorisation sollicitée.</w:t>
      </w:r>
    </w:p>
    <w:p>
      <w:r>
        <w:rPr>
          <w:b/>
        </w:rPr>
        <w:t>E. 3</w:t>
      </w:r>
    </w:p>
    <w:p>
      <w:r>
        <w:t>Au vu de ce qui précède, le recours doit être rejeté avec suite de frais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