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2A.504/2005 vom 12. September 2005</w:t>
      </w:r>
    </w:p>
    <w:p>
      <w:r>
        <w:t>Bundesgericht, 2005-09-12, FR</w:t>
      </w:r>
    </w:p>
    <w:p>
      <w:r>
        <w:rPr>
          <w:b/>
        </w:rPr>
        <w:t xml:space="preserve">Quelle: </w:t>
      </w:r>
      <w:r>
        <w:t>https://mcp.opencaselaw.ch/entscheid/bger_2A.504_2005</w:t>
      </w:r>
    </w:p>
    <w:p>
      <w:r>
        <w:t>FR: TF 2A.504/2005 du 12 septembre 2005</w:t>
      </w:r>
    </w:p>
    <w:p>
      <w:r>
        <w:t>IT: TF 2A.504/2005 del 12 settembre 2005</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ATF 131 I 57 consid. 1 p. 59; 131 II 58 consid. 1 p. 60). Le recourant n'a pas indiqué par quelle voie de recours il procède auprès du Tribunal fédéral. Toutefois, cette imprécision ne saurait lui nuire si son recours remplit les exigences légales de la voie de recours qui lui est ouverte, soit du recours de droit administratif. Selon l'art. 100 al. 1 lettre b ch. 3 OJ, le recours de droit administratif n'est pas recevable en matière de police des étrangers contre l'octroi ou le refus d'autorisations auxquelles le droit fédéral ne confère pas un droit. Conformément à l'art. 7 al. 1 de la loi fédérale du 26 mars 1931 sur le séjour et l'établissement des étrangers (LSEE; RS 142.20), le conjoint étranger d'un ressortissant suisse a droit à l'octroi et à la prolongation de l'autorisation de séjour. Pour juger de la recevabilité du recours de droit administratif, seule est déterminante la question de savoir si un mariage au sens formel existe ( ATF 126 II 265 consid. 1b p. 266). Bien qu'il y ait une procédure de divorce pendante, le recourant est marié avec une Suissesse. Son recours est donc recevable sous cet angle. En revanche, dans la mesure où le recourant demande une autorisation de séjour dans le cadre de la libre appréciation de l'autorité cantonale ( art. 4 LSEE ), son recours est irrecevable (art. 100 al. 1 lettre b ch. 3 OJ).</w:t>
      </w:r>
    </w:p>
    <w:p>
      <w:r>
        <w:rPr>
          <w:b/>
        </w:rPr>
        <w:t>E. 2</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et la jurisprudence citée). L'existence d'un abus de droit découlant du fait de se prévaloir de l' 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et la jurisprudence citée).</w:t>
      </w:r>
    </w:p>
    <w:p>
      <w:r>
        <w:rPr>
          <w:b/>
        </w:rPr>
        <w:t>E. 3</w:t>
      </w:r>
    </w:p>
    <w:p>
      <w:r>
        <w:t>La décision qui est à l'origine du présent litige est celle du Service cantonal du 17 février 2005 révoquant l'autorisation de séjour du recourant, dont l'échéance était fixée au 29 juin 2005. Maintenant que cette autorisation de séjour est de toute façon échue, il s'agit d'examiner non pas si elle a été révoquée à juste titre, mais si elle doit être renouvelée. Le Tribunal administratif a retenu que les époux X.Y.________ s'étaient séparés le 30 juin 2004, après six mois de vie commune. Le recourant ne le conteste pas. Il affirme que son mariage a pris fin, mais prétend avoir toujours gardé l'espoir d'une réconciliation. Il n'invoque cependant aucun élément concret et vraisemblable permettant de croire à une prochaine réconciliation et à une volonté réelle de reprise de la vie commune. Il n'allègue d'ailleurs pas avoir entrepris des démarches en ce sens. Au contraire, il déclare que lui-même et sa femme ont déposé, le 8 mars 2005, une demande commune en divorce avec accord complet. Dès lors, l'union des époux X.Y.________ apparaît à l'évidence vidée de toute substance. Le recourant ne pouvait pas se prévaloir, même tacitement, d'un mariage purement formel pour obtenir le renouvellement de son autorisation de séjour, sans commettre un abus de droit. Par conséquent, l'arrêt attaqué ne viole pas l' art. 7 al. 1 LSEE .</w:t>
      </w:r>
    </w:p>
    <w:p>
      <w:r>
        <w:rPr>
          <w:b/>
        </w:rPr>
        <w:t>E. 4</w:t>
      </w:r>
    </w:p>
    <w:p>
      <w:r>
        <w:t>Vu ce qui précède, le recours est manifestement mal fondé. Il doit donc être rejeté dans la mesure où il est recevable, selon la procédure simplifiée de l' art. 36a OJ . Succombant, le recourant doit supporter les frais judiciaires ( art. 156 al. 1, 153 et 153a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