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2A.503/2001 vom 21. Januar 2002</w:t>
      </w:r>
    </w:p>
    <w:p>
      <w:r>
        <w:t>Bundesgericht, 2002-01-21, FR</w:t>
      </w:r>
    </w:p>
    <w:p>
      <w:r>
        <w:rPr>
          <w:b/>
        </w:rPr>
        <w:t xml:space="preserve">Quelle: </w:t>
      </w:r>
      <w:r>
        <w:t>https://mcp.opencaselaw.ch/entscheid/bger_2A.503_2001</w:t>
      </w:r>
    </w:p>
    <w:p>
      <w:r>
        <w:t>FR: TF 2A.503/2001 du 21 janvier 2002</w:t>
      </w:r>
    </w:p>
    <w:p>
      <w:r>
        <w:t>IT: TF 2A.503/2001 del 21 gennaio 2002</w:t>
      </w:r>
    </w:p>
    <w:p>
      <w:pPr>
        <w:pStyle w:val="Heading2"/>
      </w:pPr>
      <w:r>
        <w:t>Erwägungen</w:t>
      </w:r>
    </w:p>
    <w:p>
      <w:r>
        <w:rPr>
          <w:b/>
        </w:rPr>
        <w:t>E. 1</w:t>
      </w:r>
    </w:p>
    <w:p>
      <w:r>
        <w:t>Le Tribunal fédéral examine d'office et librement la recevabilité des recours qui lui sont soumis ( ATF 126 II 506 consid. 1 p. 507).</w:t>
      </w:r>
    </w:p>
    <w:p>
      <w:r>
        <w:t>a) Selon l'art. 100 al. 1 lettre b ch. 3 OJ, le recours de droit administratif n'est pas recevable en matière de police des étrangers contre l'octroi ou le refus d'autorisations auxquelles le droit fédéral ne confère pas un droit.</w:t>
      </w:r>
    </w:p>
    <w:p>
      <w:r>
        <w:t>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w:t>
      </w:r>
    </w:p>
    <w:p>
      <w:r>
        <w:t>L'intéressé est marié avec une Suissesse, de sorte que le recours est recevable au regard de l' art. 7 al. 1 LSEE .</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w:t>
      </w:r>
    </w:p>
    <w:p>
      <w:r>
        <w:t>Le recourant vit avec sa femme de nationalité suisse et ils entretiennent apparemment une relation étroite et effective depuis que l'intéressé jouit d'une libération conditionnelle.</w:t>
      </w:r>
    </w:p>
    <w:p>
      <w:r>
        <w:t>Dès lors, le recours semble aussi recevable au regard de l' art. 8 CEDH .</w:t>
      </w:r>
    </w:p>
    <w:p>
      <w:r>
        <w:t>b)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t>Le recourant se plaint que l'autorité intimée ait constaté les faits pertinents de manière incomplète, lorsqu'elle a estimé "qu'il n'était manifestement pas apte à se conformer à l'ordre établi en Suisse", alors qu'il avait un comportement correct depuis l'assassinat en cause ici. Cependant, l'arrêt attaqué a mentionné l'argument que l'intéressé avait tiré de ce comportement dans l'état de fait (cf. l'arrêt entrepris, lettres G, p. 2, et I, p. 3) et l'a écarté dans les considérants en droit (cf. l'arrêt entrepris, consid. 5b, p. 6, et 6b, p. 8). On ne saurait donc reprocher au Tribunal administratif de s'être fondé sur une constatation incomplète des faits pertinents. En réalité, ce que conteste le recourant, c'est l'appréciation juridique que l'autorité intimée en a faite, point que le Tribunal fédéral revoit librement.</w:t>
      </w:r>
    </w:p>
    <w:p>
      <w:r>
        <w:rPr>
          <w:b/>
        </w:rPr>
        <w:t>E. 3</w:t>
      </w:r>
    </w:p>
    <w:p>
      <w:r>
        <w:t>a) 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le droit au respect de la vie privée et familiale garanti par l' art. 8 par. 1 CEDH n'est pas absolu.</w:t>
      </w:r>
    </w:p>
    <w:p>
      <w:r>
        <w:t>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refus d'octroyer une autorisation de séjour au conjoint étranger d'un ressortissant suisse, respectivement le refus de la prolonger, sur la base de l'art. 10 al. 1 lettres a et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LSEE - RSEE; RS 142. 201).</w:t>
      </w:r>
    </w:p>
    <w:p>
      <w:r>
        <w:t>b) 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w:t>
      </w:r>
    </w:p>
    <w:p>
      <w:r>
        <w:t>Pour procéder à cette pesée des intérêts en présence, l'autorité de police des étrangers s'inspire de considérations différentes de celles qui guident l'autorité pénale.</w:t>
      </w:r>
    </w:p>
    <w:p>
      <w:r>
        <w:t>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t>c) En l'espèce, il existe au moins un motif d'expulsion, puisque l'intéressé a été condamné par une autorité judiciaire pour "crime ou délit" ( art. 10 al. 1 lettre a LSEE ).</w:t>
      </w:r>
    </w:p>
    <w:p>
      <w:r>
        <w:t>Dès lors, il convient d'examiner si l'arrêt attaqué est justifié sur la base des intérêts en présence et s'il respecte le principe de la proportionnalité.</w:t>
      </w:r>
    </w:p>
    <w:p>
      <w:r>
        <w:t>Le recourant qui est arrivé en Suisse en août 1987 a été condamné à dix ans de réclusion pour assassinat et rixe, les faits remontant à mai-juillet 1992. Or, l'assassinat est une infraction spécialement grave, qui peut d'ailleurs être punie de la réclusion à vie ( art. 112 CP ). Comme l'a relevé l'autorité intimée (cf. l'arrêt attaqué, consid. 5b, p. 6), le Tribunal criminel du district d'Oron a considéré, à propos de l'assassinat en cause ici, que l'intéressé et ses frères D.________ et E.________ s'étaient révélés prêts à sacrifier, pour la satisfaction de besoins égoïstes, soit l'honneur d'un clan, un être humain dont ils n'avaient pas eu à proprement parler à souffrir, qu'ils avaient ainsi fait preuve d'un manque complet de scrupules et d'une grande froideur affective, que leur comportement avait été spécialement lâche, dès lors qu'ils avaient convaincu un tiers d'agir, après lui avoir promis qu'ils lui trouveraient un avocat, et qu'ils avaient eux-mêmes tout entrepris pour échapper à une sanction. De plus, contrairement à ce que prétend le recourant, on ne saurait considérer une récidive comme tout à fait improbable dans la mesure où la conduite de l'intéressé est en partie déterminée par des règles et des haines de clan. En effet, au moment de l'assassinat en question ici, le recourant était déjà en Suisse depuis presque cinq ans mais n'avait pas assimilé l'ordre public suisse, puisqu'il a alors agi selon des critères et des valeurs de clan qui sont totalement étrangers à l'ordre public de son pays d'accueil. Un tel comportement tombe sous le coup de l' art. 10 al. 1 lettre b LSEE et dénote un défaut d'intégration. D'ailleurs, si l'intéressé est en Suisse depuis août 1987, il faut relativiser l'importance de ce séjour dans la mesure où le recourant a passé quelque cinq ans et cinq mois en prison et environ quinze mois en semi-liberté.</w:t>
      </w:r>
    </w:p>
    <w:p>
      <w:r>
        <w:t>En revanche, l'intéressé a vécu jusqu'en août 1987, soit jusqu'à plus de vingt ans, dans son pays d'origine et y a donc passé toute sa jeunesse et son adolescence. La durée du séjour en Suisse du recourant n'est par conséquent pas déterminante.</w:t>
      </w:r>
    </w:p>
    <w:p>
      <w:r>
        <w:t>Par ailleurs, on ne peut pas assimiler la vie carcérale à la vie ordinaire. Ainsi, le fait que l'intéressé ait eu en prison une conduite satisfaisante - mais pas irréprochable, puisqu'il a dû être sanctionné disciplinairement en juillet 1996 - ne permet pas de considérer qu'il est bien intégré socialement, même s'il donne apparemment satisfaction à son employeur (cf. ATF 114 Ib 1 consid. 3b p. 5). Son absence d'intégration sociale ressort notamment du petit montant qu'il s'est contenté de verser, en prison, au titre des indemnités pour tort moral de plusieurs dizaines de milliers de francs dont il était débiteur solidaire en vertu du jugement susmentionné du 20 décembre 1995. En effet, lorsqu'il a entamé le régime de la semi-liberté, il n'avait payé que 400 fr., alors qu'il avait un pécule de 4'863, 50 fr. De plus, il ne bénéficie d'une libération conditionnelle que depuis le 19 juillet 2001. D'ailleurs, le recourant ne semble pas s'être intégré à la population suisse quand bien même il a un travail et a épousé une Suissesse. Sur le plan familial, l'intéressé a fait connaissance de sa seconde femme en 1994. Cette dernière ne pouvait par conséquent pas ignorer le jugement précité du 20 décembre 1995 lorsqu'elle a épousé le recourant en 2001. En se mariant, elle a donc accepté le risque de devoir vivre sa vie de couple à l'étranger. Au surplus, l'intéressé a encore en Suisse deux frères dont le statut de police des étrangers ne ressort pas du dossier à disposition du Tribunal fédéral; de toute façon, le recourant ne saurait se prévaloir de liens étroits et effectifs avec eux, puisqu'ils doivent purger des peines de quatorze, respectivement douze, ans de réclusion, peines assorties de l'expulsion du territoire suisse pour une durée de quinze ans.</w:t>
      </w:r>
    </w:p>
    <w:p>
      <w:r>
        <w:t>Il apparaît donc que l'intérêt public qu'il y a à éloigner de Suisse le recourant l'emporte sur l'intérêt privé de ce dernier et de sa femme à pouvoir vivre ensemble dans ce pays. Ainsi, l'autorité intimée a procédé à une pesée des intérêts en présence qui n'est pas critiquable, notamment au regard des art. 7 LSEE et 8 CEDH, et elle a respecté le principe de la proportionnalité. De façon plus générale, elle n'a pas violé le droit fédéral.</w:t>
      </w:r>
    </w:p>
    <w:p>
      <w:r>
        <w:t>d) Au demeurant, le recourant ne saurait tirer argument de la jurisprudence de la Cour européenne des droits de l'homme dans la cause Boultif (JAAC 65/2001 n° 138, p. 1392), car ce cas diffère sur des points essentiels de la présente espèce. En particulier, Abdelouahab Boulitf avait été condamné à deux ans de réclusion pour brigandage, sans qu'une mesure d'expulsion ne fût prononcée à son encontre. De plus, il avait certes épousé une Suissesse, mais avant de commettre les actes ayant donné lieu à la condamnation susmentionnée.</w:t>
      </w:r>
    </w:p>
    <w:p>
      <w:r>
        <w:t>En outre, le mariage remontait à plus de cinq ans lorsqu'est intervenue la décision des autorités zurichoises compétentes refusant de renouveler l'autorisation de séjour d'Abdelouahab Boultif.</w:t>
      </w:r>
    </w:p>
    <w:p>
      <w:r>
        <w:rPr>
          <w:b/>
        </w:rPr>
        <w:t>E. 4</w:t>
      </w:r>
    </w:p>
    <w:p>
      <w:r>
        <w:t>Vu ce qui précède, le recours doit être rejeté.</w:t>
      </w:r>
    </w:p>
    <w:p>
      <w:r>
        <w:t>L'arrêt au fond rend sans objet la demande d'effet suspensif.</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