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2A.499/2004 vom 1. November 2005</w:t>
      </w:r>
    </w:p>
    <w:p>
      <w:r>
        <w:t>Bundesgericht, 2005-11-01, FR</w:t>
      </w:r>
    </w:p>
    <w:p>
      <w:r>
        <w:rPr>
          <w:b/>
        </w:rPr>
        <w:t xml:space="preserve">Quelle: </w:t>
      </w:r>
      <w:r>
        <w:t>https://mcp.opencaselaw.ch/entscheid/bger_2A.499_2004</w:t>
      </w:r>
    </w:p>
    <w:p>
      <w:r>
        <w:t>FR: TF 2A.499/2004 du 1 novembre 2005</w:t>
      </w:r>
    </w:p>
    <w:p>
      <w:r>
        <w:t>IT: TF 2A.499/2004 del 1 novembre 2005</w:t>
      </w:r>
    </w:p>
    <w:p>
      <w:pPr>
        <w:pStyle w:val="Heading2"/>
      </w:pPr>
      <w:r>
        <w:t>Erwägungen</w:t>
      </w:r>
    </w:p>
    <w:p>
      <w:r>
        <w:rPr>
          <w:b/>
        </w:rPr>
        <w:t>E. 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OTVA et 66 al. 1 de la loi fédérale du 2 septembre 1999 régissant la taxe sur la valeur ajoutée (loi sur la TVA, LTVA, entrée en vigueur le 1er janvier 2001; RS 641.20).</w:t>
      </w:r>
    </w:p>
    <w:p>
      <w:r>
        <w:t>En vertu des art. 54 al. 2 OTVA et 66 al. 2 LTVA, l'Administration fédérale a qualité pour recourir ( art. 103 lettre b OJ ; ATF 125 II 326 consid. 2c; 2A.125/1996, Archives 65 p. 918 consid. 1b).</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la période fiscale du 3ème trimestre 1996 (cf. le décompte complémentaire no 7461417), durant lequel le transfert des biens a été opéré.</w:t>
      </w:r>
    </w:p>
    <w:p>
      <w:r>
        <w:rPr>
          <w:b/>
        </w:rPr>
        <w:t>E. 3.1</w:t>
      </w:r>
    </w:p>
    <w:p>
      <w:r>
        <w:t>En vertu de l'art. 4 lettres a et b OTVA (cf. art. 5 LTVA ), sont soumises à l'impôt notamment les livraisons de biens et les prestations de services que des assujettis effectuent à titre onéreux sur territoire suisse. L'exigence du caractère onéreux présuppose l'échange d'une prestation et d'une contre-prestation, entre lesquelles doit exister un rapport économique étroit ( ATF 126 II 249 consid. 4a). La condition que la prestation soit effectuée sur territoire suisse soulève la question du lieu des opérations imposables, qui est réglée aux art. 11 et suivant OTVA (cf. art. 13 et suivant LTVA).</w:t>
      </w:r>
    </w:p>
    <w:p>
      <w:r>
        <w:t>Selon l' art. 11 OTVA , une livraison est réputée effectuée à l'endroit où le bien se situe lors du transfert du pouvoir de disposer économiquement de celui-ci, de sa remise ou de sa mise à disposition à des fins d'usage ou de jouissance (lettre a) ou à l'endroit où commence le transport ou l'expédition du bien à destination de l'acquéreur (lettre b). En revanche, une prestation de services est effectuée, en principe, à l'endroit où le prestataire a son siège social ou un établissement stable à partir duquel elle est fournie ( art. 12 al. 1 OTVA ). L' art. 12 al. 2 OTVA contient des règles spéciales pour certaines prestations de services, à savoir celles tendant à préparer ou à coordonner des travaux immobiliers, les prestations de transport ainsi que les activités accessoires aux transports.</w:t>
      </w:r>
    </w:p>
    <w:p>
      <w:r>
        <w:t>L' art. 5 OTVA définit la notion de livraison de biens et institue une procédure de déclaration en cas de transfert de patrimoine (al. 5). L' art. 6 OTVA (cf. art. 7 LTVA ) définit la notion de prestation de services en disposant que toute prestation qui ne constitue pas la livraison d'un bien est considérée comme prestation de services. Selon l' art. 6 al. 2 lettre a OTVA (cf. art. 7 al. 2 lettre a LTVA ), la cession de valeurs ou de droits immatériels - représentés ou non par un titre - constitue une prestation de services.</w:t>
      </w:r>
    </w:p>
    <w:p>
      <w:r>
        <w:t>En présence d'opérations transfrontalières, effectuées en Suisse à destination de l'étranger, il convient d'examiner si les conditions de l'exonération (au sens propre, c'est-à-dire avec déduction de l'impôt préalable) prévues par les art. 15 et suivant OTVA (cf. art. 19 et suivant LTVA) sont réunies. Selon l' art. 15 al. 2 lettre a OTVA , les livraisons de biens transportés ou expédiés directement à l'étranger sont exonérées. Il en va de même des prestations de services autres que celles mentionnées à l'art. 15 al. 2 lettres c à k OTVA, lorsqu'elles sont fournies à un destinataire ayant son siège social ou son domicile à l'étranger et qu'elles sont utilisées ou exploitées à l'étranger (art. 15 al. 2 lettre l OTVA). L'exportation doit être prouvée par des documents comptables et des pièces justificatives ( art. 16 al. 1 2 ème phrase OTVA; cf. 2A.546/2003 consid. 2.1 à 2.6).</w:t>
      </w:r>
    </w:p>
    <w:p>
      <w:r>
        <w:rPr>
          <w:b/>
        </w:rPr>
        <w:t>E. 3.2</w:t>
      </w:r>
    </w:p>
    <w:p>
      <w:r>
        <w:t>Lorsque plusieurs prestations sont fournies ensemble, la question se pose de savoir si, du point de vue de la TVA, elles doivent être traitées comme un tout ou séparément. La question est désormais réglée à l' art. 36 al. 4 LTVA , qui a consacré le principe de l'unité de la prestation. Cette disposition prévoit ce qui suit:</w:t>
      </w:r>
    </w:p>
    <w:p>
      <w:r>
        <w:t>« Les prestations qui sont étroitement liées du point de vue économique et qui se combinent de telle manière qu'elles doivent être considérées comme un tout indissociable sont réputées constituer une opération économique unique; dans la mesure où la présente loi n'en dispose pas autrement, une telle opération est imposable dans son ensemble au taux normal. Par contre les prestations accessoires suivent le sort de la prestation principale ».</w:t>
      </w:r>
    </w:p>
    <w:p>
      <w:r>
        <w:t>L'ordonnance régissant la taxe sur la valeur ajoutée (comme, auparavant, l'arrêté du Conseil fédéral du 29 juillet 1941 instituant un impôt sur le chiffre d'affaires) ne contient pas de disposition correspondante. Toutefois, déjà sous l'empire de ces textes, le principe de l'unité de la prestation était admis par la jurisprudence et la doctrine (Alois Camenzind, Einheitlichkeit der Leistung im MWST-Recht, in: IFF-Forum für Steuerrecht, 2004/4, p. 241 ss, en part. ch. 3.2 et 6.3 et les références). L'Administration fédérale l'appliquait et le Tribunal fédéral a confirmé le bien-fondé de ce principe à plusieurs reprises, notamment en relation avec la distinction entre prestations principales et accessoires (voir les arrêts A.359/1978, Archives 50 p. 645 ss et 2A.312/1991, Archives 62 p. 687 ss, consid. 2c). Dans ses arrêts 2A.452/2003 (RDAF 2004 II 441 ss, consid. 3.1) et 2A.520/2003 (Pra 2005 no 26 p. 187 ss, consid. 10.1), le Tribunal fédéral s'est aussi prononcé sur le traitement des prestations globales, dans le sens où leur qualification fiscale s'opère en fonction de la prestation qui, du point de vue économique, est au premier plan.</w:t>
      </w:r>
    </w:p>
    <w:p>
      <w:r>
        <w:t>Parmi les prestations complexes (ou composites: Jean-Marc Rivier/ Annie Rochat Pauchard, Droit fiscal suisse, La taxe sur la valeur ajoutée, Fribourg 2000, p. 37), la pratique, la doctrine majoritaire et la jurisprudence distinguent, à la lumière du principe de l'unité de la prestation, entre celles qui forment un tout (Gesamtleistungen, prestations d'ensemble, globales), celles qui se trouvent dans un rapport de prestation principale et de prestation accessoire et les combinaisons de prestations indépendantes, auxquelles ce principe ne s'applique pas. Une prestation d'ensemble se compose de prestations présentant des caractéristiques différentes, qui constituent un tout d'un point de vue économique. Une prestation complexe peut aussi être formée d'une prestation principale et d'une ou de plusieurs prestations accessoires, qui, d'un point de vue économique, complètent, améliorent ou équilibrent celle-là (Mathias Bopp, Mehrwertsteuer und Internet, Berlin 2002, p. 251 ss).</w:t>
      </w:r>
    </w:p>
    <w:p>
      <w:r>
        <w:t>Le principe de l'unité de la prestation constitue une notion économique qui doit être interprétée comme telle. Cela découle désormais du texte de l' art. 36 al. 4 LTVA (cf. Alois Camenzind/Niklaus Honauer/Klaus A. Vallender, Handbuch zum Mehrwertsteuergesetz, 2ème éd., Berne/Stuttgart/Vienne 2003, no 190). Déjà sous l'empire de l'arrêté instituant un impôt sur le chiffre d'affaires et de l'ordonnance régissant la taxe sur la valeur ajoutée, il était cependant admis que ce principe (alors non écrit) avait un caractère économique (pour l'impôt sur le chiffre d'affaires, cf. Heinz Keller, Die warenumsatzsteuerliche Belastung von Leistungen, Archives 51 p. 261 ss; pour la TVA, voir Bopp, op. cit., p. 257; Camenzind, op. cit., p. 241 ss, spéc. ch. 6.3).</w:t>
      </w:r>
    </w:p>
    <w:p>
      <w:r>
        <w:rPr>
          <w:b/>
        </w:rPr>
        <w:t>E. 3.3</w:t>
      </w:r>
    </w:p>
    <w:p>
      <w:r>
        <w:t>L' art. 5 al. 5 OTVA , qui prévoit une procédure de déclaration en cas de transfert de patrimoine, a la teneur suivante:</w:t>
      </w:r>
    </w:p>
    <w:p>
      <w:r>
        <w:t>« Lorsque tout ou partie d'un patrimoine est transféré à titre onéreux ou à titre gratuit d'un assujetti à un autre assujetti dans le cadre d'une fondation, d'une restructuration ou d'une concentration d'entreprises, l'assujetti doit accomplir son obligation fiscale en déclarant la livraison imposable; cette déclaration doit être adressée par écrit à l'Administration fédérale des contributions dans un délai de trente jours dès le transfert du patrimoine. [...] ».</w:t>
      </w:r>
    </w:p>
    <w:p>
      <w:r>
        <w:t>La procédure de déclaration a été instituée dans un but de simplification et doit éviter que des sommes importantes doivent être immobilisées au profit du fisc (Camenzind/Honauer/Vallender, op. cit., no 1602; Rivier/Annie Rochat Pauchard, op. cit., p. 253). Pour qu'elle soit applicable, cinq conditions doivent être cumulativement remplies:</w:t>
      </w:r>
    </w:p>
    <w:p>
      <w:r>
        <w:t>a) le transfert et les opérations effectuées en relation avec celui-ci sont imposables;</w:t>
      </w:r>
    </w:p>
    <w:p>
      <w:r>
        <w:t>b) les parties au transfert (entité transférante et entité reprenante) sont assujetties à la TVA;</w:t>
      </w:r>
    </w:p>
    <w:p>
      <w:r>
        <w:t>c) le transfert porte sur tout ou partie d'un patrimoine;</w:t>
      </w:r>
    </w:p>
    <w:p>
      <w:r>
        <w:t>d) il est opéré dans le cadre d'un processus de réorganisation (fondation, liquidation ou restructuration);</w:t>
      </w:r>
    </w:p>
    <w:p>
      <w:r>
        <w:t>e) la déclaration est effectuée dans un délai de trente jours à compter du moment où le transfert a été opéré.</w:t>
      </w:r>
    </w:p>
    <w:p>
      <w:r>
        <w:rPr>
          <w:b/>
        </w:rPr>
        <w:t>E. 4</w:t>
      </w:r>
    </w:p>
    <w:p>
      <w:r>
        <w:t>En l'espèce, la Commission de recours a distingué entre trois opérations. Premièrement, il y avait eu transfert du stock, livraison dont le destinataire était, selon la Société, B.________ SA, et, d'après l'Administration fédérale, A.________ SA. La Commission de recours s'est ralliée à la position de la Société, en considérant que les biens étaient restés en Suisse, ce qui était déterminant en adoptant l'approche selon la réalité économique. Deuxièmement, il y avait eu transfert des biens corporels, livraison dont les parties s'accordaient à dire qu'elle avait été effectuée à A.________ SA, qui avait ensuite cédé les biens à sa filiale C.________, laquelle les avait retransférés à B.________ SA. Ces biens n'ayant toutefois pas quitté le territoire suisse, il fallait admettre qu'ils avaient fait l'objet d'une livraison en Suisse à B.________ SA. Troisièmement, les biens incorporels avaient été cédés à A.________ SA, qui les avait ensuite transférés à la société C.________; il s'agissait d'une prestation de services fournie à l'étranger. La Commission de recours a ainsi admis l'existence de trois opérations distinctes, qui n'étaient pas toutes destinées à la même personne ni toutes effectuées en Suisse et a donc envisagé séparément leur sort fiscal. S'agissant du stock et des biens corporels, le dossier ne permettait pas de déterminer si le destinataire des livraisons, B.________ SA, satisfaisait dès le début aux conditions d'assujettissement des art. 17 et 21 OTVA , ce qui constituait l'une des conditions d'application de la procédure de déclaration. A cet égard, il convenait donc de renvoyer la cause à l'Administration fédérale pour qu'elle complète l'instruction et statue à nouveau. Concernant la cession des marques, les conditions de l'exonération étaient réunies.</w:t>
      </w:r>
    </w:p>
    <w:p>
      <w:r>
        <w:t>De l'avis de la recourante, le transfert du secteur PMO par l'intimée doit être envisagé comme une opération unique, qui constitue une prestation de services. Cette opération ne pourrait bénéficier de l'exonération en vertu de l'art. 15 al. 2 lettre l OTVA, du moment que le lieu d'utilisation ou d'exploitation de la prestation se trouve en Suisse. Au surplus, les conditions d'application de la procédure de déclaration ne seraient pas réunies.</w:t>
      </w:r>
    </w:p>
    <w:p>
      <w:r>
        <w:rPr>
          <w:b/>
        </w:rPr>
        <w:t>E. 5.1</w:t>
      </w:r>
    </w:p>
    <w:p>
      <w:r>
        <w:t>Il ressort de la convention du 31 juillet 1996 que l'intimée a vendu le secteur PMO dans son entier, c'est-à-dire l'ensemble des biens matériels et immatériels y afférents, y compris le stock et les machines. La convention prévoyait aussi la reprise de la majeure partie du personnel. En d'autres termes, l'intimée s'engageait à vendre à l'autre partie au contrat une unité de production dans son intégralité. D'après la volonté des parties, celle-ci constituait un ensemble qui devait être transféré en tant que tel. Or, il n'y a en l'espèce pas de motif de s'écarter de la forme de droit civil choisie par les parties.</w:t>
      </w:r>
    </w:p>
    <w:p>
      <w:r>
        <w:t>Ainsi, en se basant sur la volonté des parties, la vente du secteur PMO apparaît comme un tout indissociable, une opération économique unique qui, en vertu du principe de l'unité de la prestation, doit être considérée dans son ensemble.</w:t>
      </w:r>
    </w:p>
    <w:p>
      <w:r>
        <w:t>Il s'ensuit que l'intimée n'a pas effectué des livraisons distinctes en transférant le stock ainsi que les autres biens énumérés dans la convention, contrairement à ce qu'a admis l'autorité intimée. Cela ressort également du chiffre 7.3 de la convention, aux termes duquel A.________ SA acquérait la propriété du stock lors de la signature du contrat: le stock ne devait pas connaître un sort différent de celui des autres biens transférés.</w:t>
      </w:r>
    </w:p>
    <w:p>
      <w:r>
        <w:t>La convention précitée ne porte pas sur des livraisons ou des prestations de services envisagées séparément; elle constitue un seul et même contrat ayant pour objet un ensemble d'opérations comprenant des livraisons (notamment celles des marchandises et des machines) et des prestations de services (notamment le transfert des droits immatériels et d'autres droits). Un tel ensemble d'opérations ne constitue pas une livraison de biens; il est par conséquent considéré comme prestation de services en vertu de l' art. 6 al. 1 OTVA (cf. art. 7 al. 1 LTVA ). La législation étrangère emploie dans ce contexte le terme « autre prestation » (sonstige Leistung; cf. not. le § 3 al. 9 de la loi allemande [Umsatzsteuergesetz vom 21.2.2005] et le § 3a al. 1 de la loi autrichienne [Umsatzsteuergesetz 1994]), qui est plus exact.</w:t>
      </w:r>
    </w:p>
    <w:p>
      <w:r>
        <w:t>Il convient à présent de déterminer si l'opération de transfert, telle qu'elle vient d'être caractérisée, peut être exonérée, ce qui dépend notamment de sa localisation.</w:t>
      </w:r>
    </w:p>
    <w:p>
      <w:r>
        <w:rPr>
          <w:b/>
        </w:rPr>
        <w:t>E. 5.2</w:t>
      </w:r>
    </w:p>
    <w:p>
      <w:r>
        <w:t>Le lieu de la prestation de services effectuée en exécution de la convention du 31 juillet 1996 se détermine conformément à la règle de l' art. 12 al. 1 OTVA , les dispositions spéciales de l' art. 12 al. 2 OTVA n'étant pas applicables. L'intimée, en tant que prestataire, ayant son siège en Suisse, la prestation est localisée dans ce pays. Le point de savoir si la prestation est exonérée au sens des art. 15 et suivant OTVA doit être tranché à la lumière de l'art. 15 al. 2 lettre l OTVA, les autres cas d'exonération prévus par cette disposition n'entrant pas en ligne de compte. Or, si le destinataire de la prestation, A.________ SA, avait bien son siège à l'étranger, il n'est pas établi que la prestation ait été utilisée ou exploitée à l'étranger. Au contraire, il ressort de la convention précitée que celle-ci devait être utilisée ou exploitée en Suisse ou à partir de la Suisse. A cela s'ajoute que les preuves de l'exportation exigées par l' art. 16 al. 1 2 ème phrase OTVA font défaut en l'espèce. Ainsi, les conditions de l'exonération ne sont pas réunies.</w:t>
      </w:r>
    </w:p>
    <w:p>
      <w:r>
        <w:t>Il reste à examiner si la procédure de déclaration au sens de l' art. 5 al. 5 OTVA est applicable.</w:t>
      </w:r>
    </w:p>
    <w:p>
      <w:r>
        <w:rPr>
          <w:b/>
        </w:rPr>
        <w:t>E. 5.3</w:t>
      </w:r>
    </w:p>
    <w:p>
      <w:r>
        <w:t>Il est constant que le transfert de l'unité de production stipulé par la convention du 31 juillet 1996 était en principe imposable, qu'il portait sur tout ou partie d'un patrimoine et qu'il s'inscrivait dans un processus de réorganisation. Toutefois, au moment du transfert, seule la société transférante, à savoir l'intimée, était inscrite au registre des contribuables TVA; tel n'était pas le cas de la société reprenante, A.________ SA, qui n'était pas assujettie en vertu de l' art. 21 OTVA . Au moment du transfert, B.________ SA n'était pas (encore) assujettie non plus. Dès lors, une des conditions d'application de la procédure de déclaration fait défaut. A cela s'ajoute que l'intimée n'a pas demandé à bénéficier de cette procédure dans le délai de trente jours à compter du transfert, mais seulement deux ans plus tard, à savoir le 4 août 1998.</w:t>
      </w:r>
    </w:p>
    <w:p>
      <w:r>
        <w:t>Au vu de ce qui précède, c'est à bon droit que l'Administration fédérale a refusé d'appliquer la procédure de déclaration.</w:t>
      </w:r>
    </w:p>
    <w:p>
      <w:r>
        <w:rPr>
          <w:b/>
        </w:rPr>
        <w:t>E. 6</w:t>
      </w:r>
    </w:p>
    <w:p>
      <w:r>
        <w:t>Les considérants qui précèdent conduisent à l'admission du recours.</w:t>
      </w:r>
    </w:p>
    <w:p>
      <w:r>
        <w:t>Succombant, l'intimée doit supporter les frais judiciaires ( art. 156 al. 1, 153 et 153a OJ ).</w:t>
      </w:r>
    </w:p>
    <w:p>
      <w:r>
        <w:t>Il appartiendra à l'autorité intimée de statuer à nouveau sur les frais de la procédure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