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2A.487/2003 vom 31. Oktober 2003</w:t>
      </w:r>
    </w:p>
    <w:p>
      <w:r>
        <w:t>Bundesgericht, 2003-10-31, DE</w:t>
      </w:r>
    </w:p>
    <w:p>
      <w:r>
        <w:rPr>
          <w:b/>
        </w:rPr>
        <w:t xml:space="preserve">Quelle: </w:t>
      </w:r>
      <w:r>
        <w:t>https://mcp.opencaselaw.ch/entscheid/bger_2A.487_2003</w:t>
      </w:r>
    </w:p>
    <w:p>
      <w:r>
        <w:t>FR: TF 2A.487/2003 du 31 octobre 2003</w:t>
      </w:r>
    </w:p>
    <w:p>
      <w:r>
        <w:t>IT: TF 2A.487/2003 del 31 ottobre 2003</w:t>
      </w:r>
    </w:p>
    <w:p>
      <w:pPr>
        <w:pStyle w:val="Heading2"/>
      </w:pPr>
      <w:r>
        <w:t>Erwägungen</w:t>
      </w:r>
    </w:p>
    <w:p>
      <w:r>
        <w:rPr>
          <w:b/>
        </w:rPr>
        <w:t>E. 1</w:t>
      </w:r>
    </w:p>
    <w:p>
      <w:r>
        <w:t>Bei Laienbeschwerden, welche sich gegen die Genehmigung einer ausländerrechtlichen Administrativhaft richten, stellt das Bundesgericht keine hohen Anforderungen an die Beschwerdebegründung (vgl. BGE 122 I 275 E. 3b S. 277). Ist daraus - wie hier - ersichtlich, dass sich der Betroffene (zumindest auch) gegen seine Haft wendet, nimmt es entsprechende Eingaben als Verwaltungsgerichtsbeschwerden entgegen. Gegenstand des Verfahrens bildet jedoch allein die Rechtmässigkeit der ausländerrechtlichen Administrativhaft, nicht auch die Asyl- bzw. die Wegweisungsfrage (vgl. BGE 121 II 59 E. 2b S. 61).</w:t>
      </w:r>
    </w:p>
    <w:p>
      <w:r>
        <w:rPr>
          <w:b/>
        </w:rPr>
        <w:t>E. 2.1</w:t>
      </w:r>
    </w:p>
    <w:p>
      <w:r>
        <w:t>Gemäss Art. 13a ANAG kann die zuständige kantonale Behörde einen Ausländer, der keine Aufenthalts- oder Niederlassungsbewilligung besitzt, während der Vorbereitung des Entscheides über seine Aufenthaltsberechtigung für höchstens drei Monate in Haft (Vorbereitungshaft) nehmen, wenn einer der fünf in lit. a-e dieser Bestimmung genannten Haftgründe erfüllt ist.</w:t>
      </w:r>
    </w:p>
    <w:p>
      <w:r>
        <w:t>Die streitige Haft wurde vom Migrationsdienst vorliegend - nachdem die zunächst angeordnete Ausschaffungshaft aufgehoben worden war - als Vorbereitungshaft verfügt und von der Haftrichterin auch als solche genehmigt. Als Haftgründe werden Art. 13a lit. a und lit. e ANAG angeführt. Danach kann der Ausländer in Vorbereitungshaft genommen werden, wenn er sich u.a. im Asyl- oder Wegweisungsverfahren weigert, seine Identität offen zu legen (lit. a) bzw. wenn er Personen ernsthaft bedroht oder an Leib und Leben erheblich gefährdet und deshalb strafrechtlich verfolgt wird oder verurteilt worden ist (lit. e).</w:t>
      </w:r>
    </w:p>
    <w:p>
      <w:r>
        <w:rPr>
          <w:b/>
        </w:rPr>
        <w:t>E. 2.2</w:t>
      </w:r>
    </w:p>
    <w:p>
      <w:r>
        <w:t>Die von der Haftrichterin vorgenommene Würdigung hält einer rechtlichen Prüfung nicht stand: Zwar könnten die Delikte, deren der Beschwerdeführer im Strafantrag von B.________ beschuldigt wurde (Drohung, Tätlichkeit), durchaus unter die Bestimmung von Art. 13a lit. e ANAG fallen. Der Strafantrag wurde indessen noch vor dem Entscheid der Haftrichterin wieder zurückgezogen und das Strafverfahren, wie angenommen werden muss, eingestellt. Damit sind die Voraussetzungen von Art. 13a lit. e ANAG (hängiges Strafverfahren oder erfolgte Verurteilung) nicht erfüllt (vgl. E. 2.1, am Ende). Dass der Rückzug des Strafantrages nach Einschätzung der Haftrichterin und des Migrationsdienstes aufgrund einer Drohung erfolgt sei, ändert nichts, solange die Strafbehörden diese Erklärung als verbindlich betrachten.</w:t>
      </w:r>
    </w:p>
    <w:p>
      <w:r>
        <w:t>Der Haftgrund von Art. 13a lit. a ANAG fällt ebenfalls ausser Betracht: Der Beschwerdeführer besitzt zwar wohl einen gefälschten Ausweis, den er offenbar in der Türkei verwendet hat, doch wird nicht geltend gemacht, dass er gegenüber den schweizerischen Behörden seine wahre Identität verheimliche bzw. verheimlicht habe.</w:t>
      </w:r>
    </w:p>
    <w:p>
      <w:r>
        <w:t>Der Entscheid der Haftrichterin vom 26. September 2003 ist daher wegen Verletzung von Bundesrecht aufzuheben.</w:t>
      </w:r>
    </w:p>
    <w:p>
      <w:r>
        <w:rPr>
          <w:b/>
        </w:rPr>
        <w:t>E. 3</w:t>
      </w:r>
    </w:p>
    <w:p>
      <w:r>
        <w:t>Dies führt nicht zur sofortigen Entlassung des Beschwerdeführers aus der Haft: Nach den Akten waren die Voraussetzungen für die ursprünglich angeordnete Ausschaffungshaft entgegen der Meinung des Migrationsdienstes mit der Ankündigung und Einreichung eines Asylgesuchs keineswegs dahingefallen. Der Beschwerdeführer befindet sich illegal in der Schweiz; eine formlose Wegweisung lag der Haftanordnung vom 23. September 2003 zu Grunde, und der Haftgrund der Untertauchensgefahr ( Art. 13b Abs. 1 lit. c ANAG ) fällt bei der gegebenen Situation ernsthaft in Betracht (langer illegaler Aufenthalt, Besitz gefälschter Papiere, erklärter Widerstand gegen eine Ausreise in die Türkei [vgl. Protokoll des Haftgerichts vom 26. September 2003, S. 2]). Wird nach Anordnung der Ausschaffungshaft ein Asylgesuch gestellt, fällt der bereits vorliegende Wegweisungsentscheid nicht dahin und die Ausschaffungshaft kann fortdauern, so lange mit dem Abschluss des Asylverfahrens und dem Vollzug der Wegweisung in absehbarer Zeit zu rechnen ist (Urteile 2A.147/2000 vom 27. April 2000, E. 2b/aa, 2A.190/2002 vom 13. Mai 2002, E. 2.1). Das könnte vorliegend durchaus der Fall sein, zumal es sich bereits um das dritte Asylgesuch des Beschwerdeführers handelt und aufgrund seiner Vorbringen wenig Aussicht auf Gutheissung dieses Gesuches bestehen dürfte.</w:t>
      </w:r>
    </w:p>
    <w:p>
      <w:r>
        <w:t>Da sich der Beschwerdeführer vor dem Haftgericht zum vorliegend in Betracht fallenden Haftgrund von Art. 13b Abs. 1 lit. c ANAG (Untertauchensgefahr) bisher nicht äussern konnte, ist die Angelegenheit an den Migrationsdienst des Kantons Bern zurückzuweisen. Die zuständige Verwaltungsbehörde hat gegebenenfalls die Ausschaffungshaft umgehend (neu) zu verfügen (mit neuer Verhandlung vor dem Haftrichter und allfälliger Anrechnung der bisher erstandenen Haft) oder aber den Beschwerdeführer unverzüglich aus der Haft zu entlassen.</w:t>
      </w:r>
    </w:p>
    <w:p>
      <w:r>
        <w:rPr>
          <w:b/>
        </w:rPr>
        <w:t>E. 4</w:t>
      </w:r>
    </w:p>
    <w:p>
      <w:r>
        <w:t>Dies führt zur teilweisen Gutheissung der Verwaltungsgerichtsbeschwerde und zur Aufhebung des angefochtenen Entscheides. Das sinngemäss gestellte Begehren um sofortige Entlassung aus der Haft ist dagegen abzuweisen.</w:t>
      </w:r>
    </w:p>
    <w:p>
      <w:r>
        <w:t>Entsprechend dem Verfahrensausgang ist keine Gerichtsgebühr zu erheben ( Art. 156 Abs. 2 OG ). Der nicht anwaltlich verbeiständete Beschwerdeführer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