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2A.487/2001 vom 12. Dezember 2001</w:t>
      </w:r>
    </w:p>
    <w:p>
      <w:r>
        <w:t>Bundesgericht, 2001-12-12, DE</w:t>
      </w:r>
    </w:p>
    <w:p>
      <w:r>
        <w:rPr>
          <w:b/>
        </w:rPr>
        <w:t xml:space="preserve">Quelle: </w:t>
      </w:r>
      <w:r>
        <w:t>https://mcp.opencaselaw.ch/entscheid/bger_2A.487_2001</w:t>
      </w:r>
    </w:p>
    <w:p>
      <w:r>
        <w:t>FR: TF 2A.487/2001 du 12 décembre 2001</w:t>
      </w:r>
    </w:p>
    <w:p>
      <w:r>
        <w:t>IT: TF 2A.487/2001 del 12 dicembre 2001</w:t>
      </w:r>
    </w:p>
    <w:p>
      <w:pPr>
        <w:pStyle w:val="Heading2"/>
      </w:pPr>
      <w:r>
        <w:t>Erwägungen</w:t>
      </w:r>
    </w:p>
    <w:p>
      <w:r>
        <w:rPr>
          <w:b/>
        </w:rPr>
        <w:t>E. 1</w:t>
      </w:r>
    </w:p>
    <w:p>
      <w:r>
        <w:t>a) Die Verwaltungsgerichtsbeschwerde ist gemäss Art. 97 OG in Verbindung mit Art. 5 VwVG zulässig gegen Verfügungen, die sich auf öffentliches Recht des Bundes stützen oder hätten stützen sollen, sofern diese von den in Art. 98 OG genannten Vorinstanzen erlassen worden sind und keiner der in Art. 99 ff. OG oder in der Spezialgesetzgebung vorgesehenen Ausschlussgründe vorliegt. Der angefochtene Entscheid geht von der Eidgenössischen Personalrekurskommission aus, welche Vorinstanz des Bundesgerichts im Sinne von Art. 98 lit. e OG ist. Er stützt sich auf öffentliches Recht des Bundes, nämlich die Angestelltenordnung.</w:t>
      </w:r>
    </w:p>
    <w:p>
      <w:r>
        <w:t>Ein Ausschlussgrund ist nicht gegeben (vgl. Art. 100 Abs. 1 lit. e OG ). Auf die Verwaltungsgerichtsbeschwerde ist demnach einzutreten.</w:t>
      </w:r>
    </w:p>
    <w:p>
      <w:r>
        <w:t>b) Mit der Verwaltungsgerichtsbeschwerde kann die Verletzung von Bundesrecht einschliesslich Überschreitung oder Missbrauch des Ermessens gerügt werden. An die Feststellung des Sachverhalts ist das Bundesgericht gebunden, wenn wie im vorliegenden Fall eine richterliche Behörde als Vorinstanz entschieden hat, sofern der Sachverhalt nicht offensichtlich unrichtig, unvollständig oder unter Verletzung wesentlicher Verfahrensvorschriften ermittelt worden ist ( Art. 105 Abs. 2 OG ). Ausgeschlossen ist die Rüge, der angefochtene Entscheid sei unangemessen ( Art. 104 lit. c OG ).</w:t>
      </w:r>
    </w:p>
    <w:p>
      <w:r>
        <w:t>c) Weder zu dem vom Beschwerdeführer begehrten zweiten Schriftenwechsel noch zu einer mündlichen Parteiverhandlung besteht Anlass (vgl. Art. 110 Abs. 4 und Art. 112 OG ).</w:t>
      </w:r>
    </w:p>
    <w:p>
      <w:r>
        <w:rPr>
          <w:b/>
        </w:rPr>
        <w:t>E. 2</w:t>
      </w:r>
    </w:p>
    <w:p>
      <w:r>
        <w:t>a) Der Beschwerdeführer rügt, sein Anspruch auf rechtliches Gehör sei im Verfahren der Personalrekurskommission in mehrerer Hinsicht verletzt worden. Der verfassungsrechtliche Gehörsanspruch ( Art. 29 Abs. 2 BV ) gibt dem Betroffenen das Recht, sich vor Erlass eines in seine Rechtsstellung eingreifenden Entscheides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127 I 54 E. 2b S. 56 ; 124 I 241 E. 2 S. 242). Dem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 BGE 124 I 241 E. 2 S. 242, mit Hinweisen), oder der Richter habe seine Überzeugung aufgrund bereits abgenommener Beweise willkürfrei schon bilden können ( BGE 124 I 274 E. 5b S. 285; 122 II 464 E. 4a S. 469; 119 Ib 492 E. 5b/bb S. 505 f.).</w:t>
      </w:r>
    </w:p>
    <w:p>
      <w:r>
        <w:t>b) Der Beschwerdeführer macht zunächst geltend, sein Anwalt habe erst am späteren Nachmittag des Vortages der Instruktionsverhandlung die Dokumente erhalten, welche die Zeugen C.________ und D.________ (Vorgesetzte des Beschwerdeführers) an der Instruktionsverhandlung vorgelegt hätten. Die Vorbereitungszeit sei zu kurz gewesen.</w:t>
      </w:r>
    </w:p>
    <w:p>
      <w:r>
        <w:t>Diese Rüge ist unbegründet. Wohl kann es den Anspruch auf rechtliches Gehör verletzen, wenn dem Betroffenen nicht ausreichend Zeit für die Vorbereitung zur Verfügung steht. Es geht hier allerdings nur um Dokumente, welche die Vorgesetzten als Beispiele für die ungenügende Arbeit des Beschwerdeführers an der Instruktionsverhandlung auf Anweisung des Präsidenten der Personalrekurskommission vorzulegen hatten. Der Anwalt des Beschwerdeführers erhielt diese Dokumente am Vortag. An der Verhandlung selber hat er zwar zu Protokoll gegeben, dass die ihm zur Verfügung stehende Zeit für die Vorbereitung ungenügend gewesen sei. Einen Antrag auf Aussetzung der Verhandlung hat er aber nicht gestellt.</w:t>
      </w:r>
    </w:p>
    <w:p>
      <w:r>
        <w:t>Im Übrigen lässt sich nicht sagen, dass die neuen Unterlagen besonders umfangreich gewesen wären. Jedenfalls stand dem Anwalt genügend Zeit zur Verfügung, sie mit seinem zur Verhandlung geladenen und erschienenen Klienten vorgängig zu besprechen, und er konnte dazu auch Stellung nehmen.</w:t>
      </w:r>
    </w:p>
    <w:p>
      <w:r>
        <w:t>c) Der Beschwerdeführer erachtet den Gehörsanspruch auch deshalb als verletzt, weil die von ihm an der Verhandlung beantragten Beweise nicht abgenommen worden sind. Es geht dabei darum, dass die Zeugen E.________ und F.________ über schlechte Arbeiten des Beschwerdeführers berichtet haben, die Beispiele aber an der Verhandlung nicht vorlegen konnten. Nach Meinung des Beschwerdeführers hätten sie verpflichtet werden müssen, entsprechende Dokumente zu den Akten zu geben. Ferner ist der Beschwerdeführer der Meinung, dass die Pflichtenhefte sämtlicher Angestellter des Y.________amtes hätten beigezogen werden müssen.</w:t>
      </w:r>
    </w:p>
    <w:p>
      <w:r>
        <w:t>Die Personalrekurskommission hat diese Beweisanträge in antizipierter Würdigung abgewiesen (vgl. angefochtener Entscheid, S. 6 lit. I, sowie S. 13 E. 3e/dd), ohne allerdings explizit die Gründe zu nennen. Bezüglich der Edition der Pflichtenhefte der anderen Angestellten des Y.________amtes ist augenscheinlich, dass die Leistungsbeurteilung des Beschwerdeführers davon nicht abhängen kann.</w:t>
      </w:r>
    </w:p>
    <w:p>
      <w:r>
        <w:t>Dem Beschwerdeführer scheint es mit den Pflichtenheften darum zu gehen, eine Umstrukturierung im Bundesamt zu belegen, um hieraus unter Anwendung der Verordnung vom 18. Oktober 1995 über Personalmassnahmen bei Umstrukturierungen in der allgemeinen Bundesverwaltung (SR 172. 221.104. 0) einen Anspruch zu begründen, wonach ihm eine andere Stelle in der Bundesverwaltung anzubieten wäre. Die Personalrekurskommission erachtet diese Verordnung jedoch nicht für anwendbar, wenn die Stelle eines Bediensteten nicht abgebaut, sondern nur das Pflichtenheft angepasst wird und die Gründe der Entlassung in der individuellen Leistung und dem Verhalten des Bediensteten liegen (angefochtener Entscheid, S. 11/12 E. 3e/aa). Trifft diese Rechtsauffassung zu, was noch zu prüfen ist (vgl. unten E. 4), war die Personalrekurskommission mangels Relevanz nicht gehalten, die Ausgestaltung der Pflichtenhefte abzuklären. Was die Beweisanträge betreffend Beizug von Dokumenten bei den Zeugen E.________ und F.________ betrifft, so durfte davon abgesehen werden, weil die Personalrekurskommission aufgrund der bereits abgenommenen Beweise willkürfrei zur Überzeugung gelangt ist, dass die Leistungen des Beschwerdeführers in einem Masse zu wünschen übrig liessen, das eine Entlassung zu rechtfertigen vermag.</w:t>
      </w:r>
    </w:p>
    <w:p>
      <w:r>
        <w:t>Weitere Beweismassnahmen konnte es daher zulässigerweise für entbehrlich erachten.</w:t>
      </w:r>
    </w:p>
    <w:p>
      <w:r>
        <w:rPr>
          <w:b/>
        </w:rPr>
        <w:t>E. 3</w:t>
      </w:r>
    </w:p>
    <w:p>
      <w:r>
        <w:t>a) Gemäss Art. 8 Abs. 2 lit. a AngO kann das Dienstverhältnis nach zehnjähriger Dauer auf das Ende des sechsten der Kündigung folgenden Monats gekündigt werden.</w:t>
      </w:r>
    </w:p>
    <w:p>
      <w:r>
        <w:t>Das öffentliche Dienstrecht des Bundes enthält für die ordentliche Kündigung keine nähere Bestimmungen über die Gründe, aus denen das Angestelltenverhältnis gekündigt werden darf. Die Kündigung durch den staatlichen Arbeitgeber stellt aber eine Verfügung dar, welche im Rahmen des freien (aber pflichtgemässen) Ermessens erfolgt, was bedeutet, dass es eines zureichenden sachlichen Grundes für die Kündigung bedarf. Dabei genügt, dass sich die Kündigung im Rahmen des der Verwaltung zustehenden Ermessens hält und angesichts der Leistungen und des Verhaltens des Bediensteten sowie der personellen und sonstigen betrieblichen Gegebenheiten als vertretbare Massnahme erscheint. Nur sachlich nicht haltbare, willkürliche Kündigungen seitens der Verwaltung sind im verwaltungsgerichtlichen Beschwerdeverfahren aufzuheben ( BGE 108 Ib 209 E. 2 S. 210; vgl. auch BGE 118 Ib 163 E. 4b S. 166 f.; 99 Ib 233 E. 3 S. 236 f.).</w:t>
      </w:r>
    </w:p>
    <w:p>
      <w:r>
        <w:t>b) Dem Beschwerdeführer ist gekündigt worden, weil seine Leistungen nach der Auffassung seiner Vorgesetzten zu wünschen übrig liessen. Die Personalrekurskommission hat dies überprüft. Auf Grundlage der Akten, der durchgeführten Verhandlung und der Einvernahme von acht Zeugen ist sie zu dem Ergebnis gelangt, dass die Leistungen des Beschwerdeführers in den letzten Jahren qualitativ und quantitativ nicht (mehr) genügten und ihm darüber hinaus die Zusammenarbeit mit seinem direkten Vorgesetzten wie auch den Milizangehörigen des Bundesamtes Probleme bereitet. Er bekunde auch Mühe mit der Entgegennahme von Kritik und versuche, jeden kritisierten Punkt umzudrehen. Ohne eine enge und pausenlose Führung sei er nicht in der Lage, die von ihm erwarteten Ergebnisse zu erzielen (angefochtenes Urteil, S. 11 E. 3c).</w:t>
      </w:r>
    </w:p>
    <w:p>
      <w:r>
        <w:t>Diese Feststellungen der Personalrekurskommission sind für das Bundesgericht verbindlich, es sei denn, sie wären offensichtlich unrichtig ( Art. 105 Abs. 2 OG ; oben E. 1b). Das aber ist nicht der Fall. Die Personalrekurskommission konnte von den Leistungsbeurteilungen der Vorgesetzten ausgehen, wie sie in den Akten ausführlich und umfassend dokumentiert sind. Die Beurteilung der Frage, ob ein Beamter ungenügende Leistungen erbringt, ist in erster Linie Sache der unmittelbaren Vorgesetzten, die dessen tägliche Arbeit am zuverlässigsten einschätzen können (vgl. BGE 118 Ib 163 E. 4b S. 166; 108 Ib 419 E. 2b S. 421). Die Personalrekurskommission ist nach Durchführung umfangreicher Beweismassnahmen zum Schluss gelangt, dass die Leistungsbeurteilungen der Vorgesetzten durch den Beschwerdeführer nicht entkräftet werden konnten. Hierin liegt - entgegen der Meinung des Beschwerdeführers - keine Umkehr der Beweislast, vielmehr nur die Feststellung, dass der von der Verwaltung aufgrund der Beurteilung der Vorgesetzten und der vorgelegten Dokumente erbrachte Hauptbeweis für die ungenügenden Leistungen durch Gegenbeweise des Beschwerdeführers nicht erschüttert worden ist (vgl. BGE 120 II 393 E. 4b S. 397).</w:t>
      </w:r>
    </w:p>
    <w:p>
      <w:r>
        <w:t>Die Personalrekurskommission hat nicht verkannt, dass einige Angehörige der Milizorganisation (nämlich die Zeugen G.________, I.________ und H.________) sowie der Chef der Sektion Recht im Bundesamt, der Zeuge K.________, die Zusammenarbeit mit dem Beschwerdeführer positiv beurteilen (vgl. angefochtener Entscheid, S. 10 E. 3b). Wenn die Personalrekurskommission auf diese Aussagen nicht entscheidend abgestellt hat, so liegt hierin noch nicht eine willkürliche Beweiswürdigung, denn dies wäre erst der Fall, wenn dem Entscheid Feststellungen zugrunde gelegt würden, die mit den Akten in klarem Widerspruch stehen ( BGE 118 Ia 28 E. 1b S. 30, mit Hinweisen). Davon lässt sich aber um so weniger sprechen, als auch der Zeuge K.________, der die Entlassung als unangemessen erachtet, dennoch festhält, dass der Beschwerdeführer beim Eintritt in das Amt vom ehemaligen Sektionschef überschätzt wurde und dass es "einen Mann mit Führungspersönlichkeit" brauchen würde. Damit aber wird indirekt bestätigt, dass die Führungsfunktion als Stellvertreter des Geschäftsstellenleiters den Beschwerdeführer überfordert, eine Einschätzung, die sich mit der in der Personalbeurteilung bemängelten ungenügenden "Motor"-Funktion (vgl. Sachverhalt lit. A) deckt.</w:t>
      </w:r>
    </w:p>
    <w:p>
      <w:r>
        <w:t>c) Sind die tatsächlichen Feststellungen der Personalrekurskommission nicht offensichtlich unrichtig und somit für das Bundesgericht verbindlich, so ist die Entlassung rechtlich nicht zu beanstanden. Die ungenügenden Leistungen des Beschwerdeführers sind ein triftiger Grund, der die Entlassung gestützt auf Art. 8 Abs. 2 lit. a AngO unter Einhaltung der sechsmonatigen Kündigungsfrist zu rechtfertigen vermag.</w:t>
      </w:r>
    </w:p>
    <w:p>
      <w:r>
        <w:rPr>
          <w:b/>
        </w:rPr>
        <w:t>E. 4</w:t>
      </w:r>
    </w:p>
    <w:p>
      <w:r>
        <w:t>Der Beschwerdeführer ist der Meinung, es hätte ihm unter Anwendung der Verordnung vom 18. Oktober 1995 über Personalmassnahmen bei Umstrukturierungen in der allgemeinen Bundesverwaltung (SR 172. 221.104. 0) eine andere Stelle angeboten werden müssen. Nach Art. 1 Abs. 2 dieser Verordnung gilt als Umstrukturierung jegliche Reorganisation einer Verwaltungseinheit oder eines Tätigkeitsgebietes, durch die Aufgaben abgebaut oder Stellen aufgehoben werden.</w:t>
      </w:r>
    </w:p>
    <w:p>
      <w:r>
        <w:t>Die Stelle des Beschwerdeführers ist indessen nicht abgebaut worden. Sie wird vielmehr beibehalten. Dass zuvor ein anderer Mitarbeiter pensioniert und dessen Stelle nicht wieder besetzt wurde, führte zwar zu einer teilweisen Erweiterung des Pflichtenhefts des Beschwerdeführers. Der Beschwerdeführer wurde jedoch nicht wegen Umstrukturierung entlassen, sondern wegen ungenügender Leistungen, so dass die fragliche Verordnung nicht anzuwenden war. Damit brauchte den entsprechenden Beweisanträgen des Beschwerdeführers (vgl. oben E. 2c) auch nicht mehr nachgegangen zu werden.</w:t>
      </w:r>
    </w:p>
    <w:p>
      <w:r>
        <w:rPr>
          <w:b/>
        </w:rPr>
        <w:t>E. 5</w:t>
      </w:r>
    </w:p>
    <w:p>
      <w:r>
        <w:t>Die Verwaltungsgerichtsbeschwerde erweist sich damit als unbegründet. Sie ist abzuweisen. Das vom Beschwerdeführer gestellte Gesuch um aufschiebende Wirkung wird mit dem Entscheid in der Sache selbst gegenstandslos.</w:t>
      </w:r>
    </w:p>
    <w:p>
      <w:r>
        <w:t>Dem Verfahrensausgang entsprechend hat der Beschwerdeführer die bundesgerichtlichen Kosten zu tragen (Art. 156 Abs. 1 in Verbindung mit Art. 153 und 153a OG ; BGE 121 II 207 E. 6 S. 208).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