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2A.47/2006 vom 6. Juli 2006</w:t>
      </w:r>
    </w:p>
    <w:p>
      <w:r>
        <w:t>Bundesgericht, 2006-07-06, FR</w:t>
      </w:r>
    </w:p>
    <w:p>
      <w:r>
        <w:rPr>
          <w:b/>
        </w:rPr>
        <w:t xml:space="preserve">Quelle: </w:t>
      </w:r>
      <w:r>
        <w:t>https://mcp.opencaselaw.ch/entscheid/bger_2A.47_2006</w:t>
      </w:r>
    </w:p>
    <w:p>
      <w:r>
        <w:t>FR: TF 2A.47/2006 du 6 juillet 2006</w:t>
      </w:r>
    </w:p>
    <w:p>
      <w:r>
        <w:t>IT: TF 2A.47/2006 del 6 luglio 2006</w:t>
      </w:r>
    </w:p>
    <w:p>
      <w:pPr>
        <w:pStyle w:val="Heading2"/>
      </w:pPr>
      <w:r>
        <w:t>Erwägungen</w:t>
      </w:r>
    </w:p>
    <w:p>
      <w:r>
        <w:rPr>
          <w:b/>
        </w:rPr>
        <w:t>E. 1</w:t>
      </w:r>
    </w:p>
    <w:p>
      <w:r>
        <w:t>Déposé en temps utile et dans les formes prescrites par la loi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 l' art. 66 al. 1 LTVA . L'Administration fédérale des contributions est en outre habilitée à déposer le présent recours ( art. 66 al. 2 LTVA ).</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outre, le Tribunal fédéral ne peut pas revoir l'opportunité de la décision entreprise, le droit fédéral ne prévoyant pas un tel examen en la matière (art. 104 lettre c ch. 3 OJ).</w:t>
      </w:r>
    </w:p>
    <w:p>
      <w:r>
        <w:t>L'intimé produit pour la première fois devant le Tribunal fédéral différentes pièces antérieures à la décision attaquée; il n'explique cependant pas avoir été dans l'impossibilité de les déposer devant l'autorité intimée. Ces pièces nouvelles ne sauraient être prises en considération au regard de l' art. 105 al. 2 OJ .</w:t>
      </w:r>
    </w:p>
    <w:p>
      <w:r>
        <w:rPr>
          <w:b/>
        </w:rPr>
        <w:t>E. 3</w:t>
      </w:r>
    </w:p>
    <w:p>
      <w:r>
        <w:t>La recourante fait valoir que l'intimé était l'employeur de sa fille, lorsqu'elle conduisait le taxi de son père.</w:t>
      </w:r>
    </w:p>
    <w:p>
      <w:r>
        <w:rPr>
          <w:b/>
        </w:rPr>
        <w:t>E. 3.1</w:t>
      </w:r>
    </w:p>
    <w:p>
      <w:r>
        <w:t>D'après l' art. 17 al. 1 OTVA , applicable en l'espèce à la période antérieure au 1er janvier 2001 ( art. 93 et 94 LTVA ) et l' art. 21 LTVA , applicable à la période ultérieure à cette date, 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globalement la somme de 75'000 francs par an. Les conditions de l'assujettissement subjectif n'ont pas été modifiées par l'entrée en vigueur de l' art. 21 LTVA (arrêt 2A.304/2003 du 14 novembre 2003 consid. 3.3 in RF 59/2004 p. 232). Les personnes physiques qui exercent une activité lucrative dépendante ne sont pas assujetties.</w:t>
      </w:r>
    </w:p>
    <w:p>
      <w:r>
        <w:rPr>
          <w:b/>
        </w:rPr>
        <w:t>E. 3.2</w:t>
      </w:r>
    </w:p>
    <w:p>
      <w:r>
        <w:t>S'inspirant de la pratique développée sous l'impôt sur le chiffre d'affaires, la jurisprudence a énoncé les critères permettant de retenir l'existence d'une activité indépendante: ainsi, en particulier, la responsabilité assumée pour la bonne exécution du travail confié, le fait d'agir en son propre nom, de participer au gain et de supporter les pertes ainsi que la liberté d'accepter ou de refuser une tâche et celle d'organiser son travail (arrêt 2A.520/2003 du 29 juin 2004 in Pra 2005 n° 26 p. 187, consid. 5; arrêt 2A.304/2003 du 14 novembre 2003 in RF 59/2004 p. 232, consid. 3.3; arrêt 2A.468/1999 du 27 octobre 2000 in Archives 71 p. 651). La notion d'indépendance doit être interprétée largement pour éviter de limiter l'assujettissement à la taxe sur la valeur ajoutée d'une façon qui contrarie le principe de la neutralité concurrentielle et de la généralité de l'imposition (arrêt 2A.304/2003 du 14 novembre 2003 in RF 59/2004 p. 232, consid. 3.3).</w:t>
      </w:r>
    </w:p>
    <w:p>
      <w:r>
        <w:t>La doctrine mentionne encore d'autres critères, comme la mise en oeuvre d'investissements importants, l'usage de locaux commerciaux propres, le recours à du personnel propre ainsi que le régime retenu en matière d'impôt fédéral direct et d'assurances sociales (Gerhard Schafroth/Dominik Romang, in: mwst.com, Diego Clavadetscher/Pierre-Marie Glauser/Gerhard Schafroth éd., Bâle 2000, n° 29 ad Art. 21 LTVA ; Camenzind/Honauer/Vallender, Handbuch zum Mehrwertsteuer-gesetz (MWSTG), 2ème éd., Haupt, Berne/Stuttgart/Vienne 2003, p. 346 s. n° 1009 et 1010; Schaller/Sudan/Scheuner/Huguenot (éd.), TVA annotée, Schulthess 2005, p. 134 s. ad art. 21 LTVA et les références citées).</w:t>
      </w:r>
    </w:p>
    <w:p>
      <w:r>
        <w:t>D'après la jurisprudence, la nature de l'activité en cause au regard du droit des assurances sociales constitue un indice important, sans être déterminant à lui seul. Il en va de même des critères de l'activité indépendante développés en matière d'impôt fédéral direct (arrêt 2A.304/2003 du 14 novembre 2003 in RF 59/2004 p. 232, consid. 3.3.2; arrêt 2A.468/1999 du 27 octobre 2000 in Archives 71 p. 651; Archives 66 p. 162 consid. 2a et 2b p. 162-163 et les références citées, cf. sur ce sujet: Rapport du Conseil fédéral du 14 novembre 2001 sur un traitement uniforme et cohérent des activités lucratives dépendantes et indépendantes en droit fiscal et en droit des assurances sociales, FF 2002, p. 1076 ss). Inversement, la manière dont les parties définissent leur relation contractuelle est sans importance (arrêt 2A.304/2003 du 14 novembre 2003 in RF 59/2004 p. 232, consid. 3.3.2 ). Les conditions de droit civil peuvent fournir certains indices, sans que cela soit déterminant (arrêt 2A.502/2004 du 28 avril 2005 consid. 5.1 et les références citées).</w:t>
      </w:r>
    </w:p>
    <w:p>
      <w:r>
        <w:t>La jurisprudence et la doctrine européennes retiennent une définition analogue (arrêt 2A.502/2004 du 28 avril 2005 consid. 5.1; arrêt 2A.468/1999 du 27 octobre 2000, consid. 4 et les références citées).</w:t>
      </w:r>
    </w:p>
    <w:p>
      <w:r>
        <w:t>Il s'ensuit que, pour juger si une activité lucrative est dépendante ou indépendante, il faut tenir compte de l'ensemble des circonstances (arrêt 2A.502/2004 du 28 avril 2005 consid. 5.1; arrêt 2A.468/1999 du 27 octobre 2000, consid. 4 et les références citées).</w:t>
      </w:r>
    </w:p>
    <w:p>
      <w:r>
        <w:rPr>
          <w:b/>
        </w:rPr>
        <w:t>E. 4.1</w:t>
      </w:r>
    </w:p>
    <w:p>
      <w:r>
        <w:t>En l'espèce, appliquant les critères retenus par la jurisprudence, la Commission fédérale de recours a constaté que, du moment que sa clientèle, destinataire de la prestation de transport, ignorait les liens qui unissaient père et fille, celle-ci assumait la responsabilité de la bonne exécution de son travail. C'était également en son nom, et non pas comme employée de l'intimé, qu'elle apparaissait envers ses clients et son garagiste. Il en allait de même en ce qui concernait les cotisations du Touring club suisse, les cotisations pour l'AVS et l'assurance accident. Les factures d'achat du véhicule et de son entretien étaient établies à son nom. Elle tenait en outre une comptabilité séparée de celle de son père, y comptabilisait les amortissements et assumait entièrement les risques liés à sa rémunération, même en cas de maladie, puisqu'elle ne recevait aucun salaire de l'intimé et ne transportait pas de client pour ce dernier, auquel elle ne reversait d'ailleurs rien des sommes encaissées. Comme l'intimé était seul titulaire de la concession, sa fille ne pouvait l'utiliser comme taxi qu'en dehors des heures où ce dernier circulait. Toutefois, sous cette réserve, elle était libre de travailler ou non hors de ces plages horaires, ce qui signifiait qu'il n'y avait pas de rapport de subordination entre les intéressés. Enfin, à ces éléments s'ajoutaient, à titre d'indice, le fait que les autorités fiscales cantonales et en matière d'assurances sociales l'avaient qualifiée d'indépendante.</w:t>
      </w:r>
    </w:p>
    <w:p>
      <w:r>
        <w:rPr>
          <w:b/>
        </w:rPr>
        <w:t>E. 4.2</w:t>
      </w:r>
    </w:p>
    <w:p>
      <w:r>
        <w:t>La recourante ne se plaint pas de ce que les faits constatés par la Commission fédérale de recours seraient manifestement inexacts ou incomplets ou établis au mépris de règles essentielles de procédure (cf. art. 105 al. 2 OJ ). Sous cet angle, elle se borne à rétorquer que rien ne permettrait de prouver que la fille de l'intimé était responsable de la bonne exécution du travail, qu'elle devait se procurer elle-même ses clients ou qu'elle agissait en son propre nom, ce qui est insuffisant dans la mesure où la recourante n'apporte aucun indice à l'appui de ses doutes.</w:t>
      </w:r>
    </w:p>
    <w:p>
      <w:r>
        <w:rPr>
          <w:b/>
        </w:rPr>
        <w:t>E. 4.3</w:t>
      </w:r>
    </w:p>
    <w:p>
      <w:r>
        <w:t>Pour le surplus, elle se plaint de ce que la Commission fédérale de recours a indûment écarté l'application du Règlement intercommunal de 1964 sur le service des taxis, en vigueur dans les communes de l'arrondissement de Lausanne (RIS; dans sa version en vigueur depuis le 1er janvier 1993), dont les dispositions conduiraient en l'espèce à des conclusions contraires. A son avis, l'intimé étant seul au bénéfice d'une autorisation A, inscrit à ce titre sur la liste officielle (art. 12 lettre a RIS) et seul membre de la coopérative qui exploite la centrale téléphonique "Taxi Services", sa fille ne pourrait être considérée que comme employée de l'intimé; c'était ainsi qu'elle apparaissait aux yeux de la coopérative, qui répartissait au surplus les appels des clients, les intéressés ne disposant pas d'un numéro de téléphone professionnel personnel. De l'avis de la recourante, les clients que conduisait la fille de l'intimé ne pouvaient par conséquent ignorer l'identité de l'intimé et savaient qu'ils contractaient avec lui. Enfin celle-ci n'apparaissait pas sous son nom auprès des compagnies d'assurance du véhicule qu'elle conduisait, qui n'était pas non plus immatriculé à son nom.</w:t>
      </w:r>
    </w:p>
    <w:p>
      <w:r>
        <w:t>Il est vrai que l'art. 12 RIS interdit à quiconque d'exploiter un service de taxis sur le territoire de l'arrondissement sans en avoir obtenu l'autorisation. Il est vrai également que la fille de l'intimé ne bénéficiait d'aucune autorisation. Toutefois, il résulte de la jurisprudence rappelée ci-dessus que la question de savoir si une personne exerce une activité commerciale ou professionnelle de manière indépendante aux termes de l' art. 21 LTVA (respectivement de l' art. 17 al. 1 OTVA ) ne dépend pas uniquement du respect des prescriptions de droit public qui régissent l'activité en cause, mais bien plutôt de l'ensemble des circonstances à la lumière des critères retenus par la jurisprudence. Quoi qu'en dise la recourante, on ne saurait par conséquent accorder un poids prépondérant au régime légal et écarter les circonstances concrètes dans lesquelles la fille de l'intimé exerçait son activité professionnelle pour lui imputer un statut certes conforme à la loi, mais purement théorique. Il s'ensuit que l'absence d'autorisation de l'intéressée apparaît secondaire par rapport aux circonstances que la Commission fédérale de recours a retenues en faveur du caractère indépendant de son activité. Le fait que le véhicule que conduisait l'intéressée était immatriculé et était assuré au nom de l'intimé apparaît comme une conséquence de l'absence d'autorisation, destiné à sauvegarder une apparence de légalité aux yeux des autorités instituées par le Règlement intercommunal des taxis et par conséquent ne change rien à cette constatation.</w:t>
      </w:r>
    </w:p>
    <w:p>
      <w:r>
        <w:rPr>
          <w:b/>
        </w:rPr>
        <w:t>E. 4.4</w:t>
      </w:r>
    </w:p>
    <w:p>
      <w:r>
        <w:t>Par conséquent, en jugeant que la fille de l'intimé exerçait son activité professionnelle de chauffeur de taxi à titre indépendant, la Commission fédérale de recours n'a pas violé l' art. 21 al. 1 LTVA (ni l' art. 17 al. 1 OTVA ). Dans ces conditions, comme les chiffres d'affaires de l'intimé et de sa fille doivent faire l'objet d'une imposition séparée et ne peuvent être additionnés, le chiffre d'affaires de l'intimé n'atteint pas la limite entraînant son assujettissement.</w:t>
      </w:r>
    </w:p>
    <w:p>
      <w:r>
        <w:rPr>
          <w:b/>
        </w:rPr>
        <w:t>E. 5</w:t>
      </w:r>
    </w:p>
    <w:p>
      <w:r>
        <w:t>Les considérants qui précèdent conduisent au rejet du recours. Les frais de justice, d'un montant de 2'000 fr., sont mis à la charge de la recourante, dont les intérêts pécuniaires sont en cause ( art. 156 al. 2 OJ ). L'intimé a droit à une indemnité de dépens ( art. 159 al. 3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