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2A.476/2005 vom 9. Mai 2006</w:t>
      </w:r>
    </w:p>
    <w:p>
      <w:r>
        <w:t>Bundesgericht, 2006-05-09, DE</w:t>
      </w:r>
    </w:p>
    <w:p>
      <w:r>
        <w:rPr>
          <w:b/>
        </w:rPr>
        <w:t xml:space="preserve">Quelle: </w:t>
      </w:r>
      <w:r>
        <w:t>https://mcp.opencaselaw.ch/entscheid/bger_2A.476_2005</w:t>
      </w:r>
    </w:p>
    <w:p>
      <w:r>
        <w:t>FR: TF 2A.476/2005 du 9 mai 2006</w:t>
      </w:r>
    </w:p>
    <w:p>
      <w:r>
        <w:t>IT: TF 2A.476/2005 del 9 maggio 2006</w:t>
      </w:r>
    </w:p>
    <w:p>
      <w:pPr>
        <w:pStyle w:val="Heading2"/>
      </w:pPr>
      <w:r>
        <w:t>Erwägungen</w:t>
      </w:r>
    </w:p>
    <w:p>
      <w:r>
        <w:rPr>
          <w:b/>
        </w:rPr>
        <w:t>E. 1.1</w:t>
      </w:r>
    </w:p>
    <w:p>
      <w:r>
        <w:t>Nach Art. 100 Abs. 1 lit. b Ziff. 3 OG ist die Verwaltungsgerichtsbeschwerde auf dem Gebiet der Fremdenpolizei ausgeschlossen gegen die Erteilung oder Verweigerung von Bewilligungen, auf die das Bundesrecht keinen Anspruch einräumt.</w:t>
      </w:r>
    </w:p>
    <w:p>
      <w:r>
        <w:t>Ledige ausländische Kinder unter 18 Jahren von Schweizer Bürgern haben gemäss der bundesgerichtlichen Rechtsprechung in Analogie zu Art. 17 Abs. 2 ANAG Anspruch auf die Niederlassungsbewilligung, wenn sie mit diesen zusammen wohnen ( BGE 118 Ib 153 ; 129 I 249 E. 1.2 S. 252). Ferner garantieren Art. 8 EMRK und Art. 13 BV den Schutz des Familienlebens; gestützt darauf ist die Verwaltungsgerichtsbeschwerde des um die fremdenpolizeiliche Bewilligung ersuchenden Ausländers oder seiner hier anwesenden nahen Verwandten zulässig, wenn diese über ein gefestigtes Anwesenheitsrecht in der Schweiz verfügen und die familiäre Beziehung tatsächlich gelebt wird und intakt ist ( BGE 109 Ib 183 ; 127 II 60 E. 1d/aa S. 64 f., mit Hinweisen).</w:t>
      </w:r>
    </w:p>
    <w:p>
      <w:r>
        <w:t>Der Beschwerdeführer ist Schweizer Bürger. Er hat nach dem Gesagten einen grundsätzlichen Anspruch auf den Nachzug seines demnächst 13 Jahre alten Sohnes (vgl. BGE 129 II 11 ff. und 126 II 329 ff.) Insofern geht es um eine Angelegenheit des Bundesverwaltungsrechts, welche gemäss Art. 97 ff. OG Gegenstand einer eidgenössischen Verwaltungsgerichtsbeschwerde bilden kann; insbesondere der Ausschlussgrund von Art. 100 Abs. 1 lit. b Ziff. 3 OG kommt nicht zum Tragen.</w:t>
      </w:r>
    </w:p>
    <w:p>
      <w:r>
        <w:rPr>
          <w:b/>
        </w:rPr>
        <w:t>E. 1.2</w:t>
      </w:r>
    </w:p>
    <w:p>
      <w:r>
        <w:t>Gegenstand des vorliegenden Verfahrens bildet jedoch einzig, ob seitens der Beschwerdeführer ein Anspruch darauf besteht, dass über die Frage des Familiennachzugs des Sohnes B.________ nochmals entschieden wird. Dies beurteilt sich an sich nach dem kantonalen Verfahrensrecht. Da in der Sache Bundesverwaltungsrecht massgebend ist (vgl. E. 1.1), dessen richtige Anwendung durch eine bundesrechtswidrige Handhabung des kantonalen Verfahrensrechts vereitelt werden könnte, ist der vorliegende Entscheid des Verwaltungsgerichts, mit dem das Nichteintreten auf das Wiedererwägungsgesuch geschützt wird, mit Verwaltungsgerichtsbeschwerde anfechtbar (vgl. BGE 127 II 264 E. 1a S. 267 mit Hinweis).</w:t>
      </w:r>
    </w:p>
    <w:p>
      <w:r>
        <w:rPr>
          <w:b/>
        </w:rPr>
        <w:t>E. 2</w:t>
      </w:r>
    </w:p>
    <w:p>
      <w:r>
        <w:t>Eine kantonale Behörde muss sich mit einem Wiedererwägungsgesuch dann förmlich befassen und allenfalls auf eine rechtskräftige Verfügung zurückkommen, wenn das kantonale Recht dies vorsieht und die entsprechenden gesetzlichen Voraussetzungen erfüllt sind oder wenn unmittelbar aus der Bundesverfassung fliessende Grundsätze dies gebieten (vgl. hierzu: BGE 120 Ib 42 E. 2b S. 46/47; 113 Ia 146 E. 3a S. 150 ff.; 109 Ib 246 E. 4c S. 253; 100 Ib 368 E. 3 S. 371 ff.).</w:t>
      </w:r>
    </w:p>
    <w:p>
      <w:r>
        <w:t>Ob das Wiedererwägungsgesuch bzw. das neue Nachzugsgesuch von den kantonalen Behörden hätte materiell behandelt werden müssen, hängt, wovon die Beschwerdeführer in Übereinstimmung mit dem Verwaltungsgericht zutreffend ausgehen, davon ab, ob sich der Sachverhalt seit Beurteilung des ersten Gesuches derart wesentlich geändert hat, dass ein anderes Ergebnis in Betracht fallen könnte (vgl. Urteil 2A.8/2004 vom 9. Januar 2004, E. 2.2.2 mit Hinweisen).</w:t>
      </w:r>
    </w:p>
    <w:p>
      <w:r>
        <w:rPr>
          <w:b/>
        </w:rPr>
        <w:t>E. 3.1</w:t>
      </w:r>
    </w:p>
    <w:p>
      <w:r>
        <w:t>Das Verwaltungsgericht hat erwogen, für die Bejahung des Nachzugsrechts müsste als Voraussetzung ersichtlich sein, dass die bisherige Betreuungsperson - also vorliegend die Mutter von B.________ - nicht mehr in der Lage wäre, das Kind zu betreuen. Gegen die Erziehungs- und Betreuungsfähigkeit der Mutter liege hier allerdings nichts vor. Sodann hätten die Beschwerdeführer bereits im ersten Bewilligungsverfahren geltend gemacht, B.________ verstehe sich mit seinem in der Türkei lebenden Stiefvater überhaupt nicht. Auch dass B.________ im Mai/Juni 2004 offenbar für eine gewisse Zeit bei einem Bruder seines Vaters untergebracht gewesen sei, spreche nicht für eine Übersiedlung in die Schweiz, sondern lege vielmehr nahe, dass in der Heimat noch andere Betreuungspersonen vorhanden seien.</w:t>
      </w:r>
    </w:p>
    <w:p>
      <w:r>
        <w:rPr>
          <w:b/>
        </w:rPr>
        <w:t>E. 3.2</w:t>
      </w:r>
    </w:p>
    <w:p>
      <w:r>
        <w:t>Das Verwaltungsgericht hat nach dem Gesagten mit einlässlicher Begründung eine wesentliche Änderung des Sachverhaltes im Vergleich zur ersten Beurteilung des Familiennachzugsgesuches verneint. Soweit es sich dabei um tatsächliche Feststellungen und um die damit verbundenen Beweiswürdigungen handelt, sind diese nach Massgabe von Art. 105 OG für das Bundesgericht verbindlich.</w:t>
      </w:r>
    </w:p>
    <w:p>
      <w:r>
        <w:rPr>
          <w:b/>
        </w:rPr>
        <w:t>E. 3.3</w:t>
      </w:r>
    </w:p>
    <w:p>
      <w:r>
        <w:t>Die Beschwerdeführer erblicken eine wesentliche nachträgliche Änderung der Umstände, welche ihnen einen Anspruch auf eine Neubeurteilung des Nachzugsgesuches verschaffen soll, in erster Linie darin, dass der gut zwölf Jahre alte Sohn B.________ seit seiner Einreise am 13. Juni 2004 bei seinem Vater in der Schweiz wohnt, hier eingeschult wurde und sich bestens eingelebt haben soll. Damit habe das Kind seinen familiären und sozialen Mittelpunkt in der Schweiz, was eine zentrale Veränderung der Verhältnisse bedeute (S. 7 der Beschwerdeschrift).</w:t>
      </w:r>
    </w:p>
    <w:p>
      <w:r>
        <w:rPr>
          <w:b/>
        </w:rPr>
        <w:t>E. 3.4</w:t>
      </w:r>
    </w:p>
    <w:p>
      <w:r>
        <w:t>Das Verwaltungsgericht mass diesem Punkt für die Beurteilung der familiären Situation und der Interessenabwägung keine entscheidende Bedeutung bei (E. 2.3.4 S. 10 f. des angefochtenen Urteils). Diese Überlegung lässt sich bundesrechtlich nicht beanstanden. Wie das Bundesgericht in ähnlich gelagerten Fällen schon wiederholt erkannt hat, kann der Umstand, dass die bisherigen Betreuungsverhältnisse durch die Missachtung der mit einem Besuchervisum verbundenen Ausreisepflicht eigenmächtig verändert wurden, für die Würdigung der familiären Situation und die vorzunehmende Interessenabwägung nicht ausschlaggebend sein. Andernfalls könnten die Behörden jeweils auf diese Weise vor vollendete Tatsachen gestellt werden, und der sich rechtskonform verhaltende Ausländer würde benachteiligt ( BGE 129 II 249 E. 2.3 S. 255, vgl. auch etwa die Urteile 2A. 532/2001 vom 6. März 2002, E. 6.2, und 2A.192/2003 vom 23. Juli 2003, E. 2.4). Zu berücksichtigen sind daher nur allfällige gewichtige Sachverhaltsänderungen bezüglich der Betreuungsverhältnisse im Heimatland des Kindes. Solche sind, wie das Verwaltungsgericht vertretbarerweise annehmen durfte, nicht dargetan. Bei den geltend gemachten Gründen für eine Übersiedlung des Kindes zu seinem Vater handelt es sich im Wesentlichen um Umstände, die bereits im früheren Verfahren gewürdigt worden waren; die entsprechenden tatsächlichen Annahmen des Verwaltungsgerichts sind jedenfalls nicht offensichtlich unrichtig (vgl. Art. 105 Abs. 2 OG ).</w:t>
      </w:r>
    </w:p>
    <w:p>
      <w:r>
        <w:rPr>
          <w:b/>
        </w:rPr>
        <w:t>E. 3.5</w:t>
      </w:r>
    </w:p>
    <w:p>
      <w:r>
        <w:t>Dass sich die Beweisführung bezüglich der Unmöglichkeit einer Weiterbetreuung des Kindes im Heimatland durch die eigenmächtige Übersiedlung in die Schweiz erschwert hat, ist von den Beschwerdeführern zu vertreten. Ihrem Antrag, die schweizerische Botschaft in Ankara um einen Bericht hierüber zu ersuchen, ist nicht zu entsprechen. Die Feststellung des Sachverhaltes, an den das Bundesgericht nach Massgabe von Art. 105 OG gebunden ist, obliegt den kantonalen Rechtsmittelinstanzen.</w:t>
      </w:r>
    </w:p>
    <w:p>
      <w:r>
        <w:rPr>
          <w:b/>
        </w:rPr>
        <w:t>E. 4</w:t>
      </w:r>
    </w:p>
    <w:p>
      <w:r>
        <w:t>Die Verwaltungsgerichtsbeschwerde erweist sich damit als unbegründet und ist abzuweisen.</w:t>
      </w:r>
    </w:p>
    <w:p>
      <w:r>
        <w:t>Bei diesem Verfahrensausgang sind die Gerichtskosten den Beschwerdeführern aufzuerlegen (Art. 156 in Verbindung mit Art. 153 und 153a OG ). Parteientschädigungen sind nicht geschuldet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