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2A.475/2002 vom 31. März 2003</w:t>
      </w:r>
    </w:p>
    <w:p>
      <w:r>
        <w:t>Bundesgericht, 2003-03-31, DE</w:t>
      </w:r>
    </w:p>
    <w:p>
      <w:r>
        <w:rPr>
          <w:b/>
        </w:rPr>
        <w:t xml:space="preserve">Quelle: </w:t>
      </w:r>
      <w:r>
        <w:t>https://mcp.opencaselaw.ch/entscheid/bger_2A.475_2002</w:t>
      </w:r>
    </w:p>
    <w:p>
      <w:r>
        <w:t>FR: TF 2A.475/2002 du 31 mars 2003</w:t>
      </w:r>
    </w:p>
    <w:p>
      <w:r>
        <w:t>IT: TF 2A.475/2002 del 31 marzo 2003</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112 Abs. 2 des bis am 31. Dezember 1994 gültigen Bundesratsbeschlusses vom 9. Dezember 1940 über die Erhebung einer direkten Bundessteuer [Bundessteuerbeschluss, BdBSt] bzw. Art. 146 des seit dem 1. Januar 1995 gültigen Bundesgesetzes vom 14. Dezember 1990 über die direkte Bundessteuer [Bundessteuergesetz, DBG; SR 642.11]). Als betroffener Steuerpflichtiger ist der Beschwerdeführer gemäss Art. 103 lit. a OG zur Anfechtung des vorinstanzlichen Entscheids befugt. Auf die frist- und formgerecht (vgl. Art. 106 und 108 OG ) eingereichte Eingabe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E. 1c S. 37).</w:t>
      </w:r>
    </w:p>
    <w:p>
      <w:r>
        <w:rPr>
          <w:b/>
        </w:rPr>
        <w:t>E. 2.1</w:t>
      </w:r>
    </w:p>
    <w:p>
      <w:r>
        <w:t>Nach Art. 21 Abs. 1 lit. a in Verbindung mit Art. 41 Abs. 2 BdBSt ist in der Steuerperiode 1993/94 das in der Berechnungsperiode 1991/92 erzielte Einkommen und nach Art. 18 Abs. 1 in Verbindung mit Art. 40 und 43 DBG in der Steuerperiode 1995/96 das in der Berechnungsperiode 1993/94 erzielte Einkommen zu versteuern. Weder der Bundessteuerbeschluss noch das Bundessteuergesetz sagen ausdrücklich, wann ein Einkommen als erzielt zu gelten hat.</w:t>
      </w:r>
    </w:p>
    <w:p>
      <w:r>
        <w:rPr>
          <w:b/>
        </w:rPr>
        <w:t>E. 2.2</w:t>
      </w:r>
    </w:p>
    <w:p>
      <w:r>
        <w:t>Bis zum 31. Dezember 1994 wurden Gewinne aus Liegenschaftenhandel gestützt auf Art. 21 Abs. 1 lit. a und, wenn der Steuerpflichtige zur Führung kaufmännischer Bücher verpflichtet war, gestützt auf Art. 21 Abs. 1 lit. d und f sowie Art. 43 Abs. 1 BdBSt besteuert (vgl. BGE 125 II 113 E. 3b S. 117). Seither sind nach Art. 18 DBG steuerbar alle Einkünfte aus einem Handels-, Industrie-, Gewerbe-, Land- und Forstwirtschaftsbetrieb, aus einem freien Beruf sowie aus jeder anderen selbständigen Erwerbstätigkeit (Abs. 1). Zu den Einkünften zählen auch alle Kapitalgewinne aus Veräusserung, Verwertung oder buchmässiger Aufwertung von Geschäftsvermögen (Abs. 2 Satz 1). Für die steuerliche Gewinnermittlung bilden die handelsrechtlichen Bücher die Grundlage (vgl. Art. 87 Abs. 1 und Art. 89 Abs. 3 BdBSt bzw. Art. 18 Abs. 3 und Art. 125 Abs. 2 DBG ). Die schweizerische Steuerpraxis knüpft dabei an die handelsrechtliche Bilanz an, welche auch steuerrechtlich verbindlich ist (Massgeblichkeitsprinzip der Handelsbilanz), wenn bei deren Errichtung nicht gegen zwingende Bestimmungen des Handelsrechts verstossen wurde und sofern nicht spezielle steuerrechtliche Vorschriften für die Gewinnermittlung zu beachten sind (StE 2002 B 72.13.1 Nr. 3, 2A.157/2001, E. 2b, mit Hinweisen).</w:t>
      </w:r>
    </w:p>
    <w:p>
      <w:r>
        <w:rPr>
          <w:b/>
        </w:rPr>
        <w:t>E. 3.1</w:t>
      </w:r>
    </w:p>
    <w:p>
      <w:r>
        <w:t>Gewinne werden nach dem steuerrechtlichen Periodizitätsprinzip derjenigen Periode zugerechnet, in der sie - ungeachtet der handelsrechtlichen bzw. buchhalterischen Behandlung - anfallen: Ein Einkommen ist nach steuerrechtlichen Grundsätzen dann als erzielt zu betrachten, wenn der Steuerpflichtige Leistungen vereinnahmt oder einen festen Rechtsanspruch darauf erwirbt, über den er tatsächlich verfügen kann (grundlegend: BGE 105 Ib 238 E. 4a S. 242; StR 54/1999 S. 196, 2A.67/1997, E. 5b, S. 201; RADF 1998 2 374, 2P.14/1998, E. 3a; BGE 113 Ib 23 E. 2e S. 26).</w:t>
      </w:r>
    </w:p>
    <w:p>
      <w:r>
        <w:rPr>
          <w:b/>
        </w:rPr>
        <w:t>E. 3.2</w:t>
      </w:r>
    </w:p>
    <w:p>
      <w:r>
        <w:t>Nach ständiger Rechtsprechung des Bundesgerichts findet die Regel, dass der steuerrechtlich relevante Einkommenszufluss im Zeitpunkt der Begründung eines festen Anspruchs erfolgt, grundsätzlich auch Anwendung bei der Realisierung von Kapitalgewinnen, die aus der Veräusserung von Geschäftsvermögen entstehen. Wenn ein solcher Veräusserungsvertrag rechtsgültig abgeschlossen worden ist und seine Erfüllung nicht unsicher erscheint, wird der daraus resultierende Kapitalgewinn im Zeitpunkt der Begründung des Anspruchs besteuert. Dies gilt auch für Kapitalgewinne, die sich bei der Veräusserung von Geschäftsgrundstücken ergeben. In diesen Fällen entsteht mit dem Vertragsabschluss in der Regel ein fester Anspruch, der einen steuerbaren Einkommenszugang darstellt. Es ist deshalb mit der Besteuerung nicht bis zur Vertragserfüllung, d.h. bis zur Eintragung der Handänderung im Grundbuch zuzuwarten ( BGE 105 Ib 238 E. 4b S. 242 f., mit Hinweisen; 113 Ib 23 E. 2e S. 26; ASA 61 S. 666, 2A.56/1991, E. 3b, S. 669; RADF 1998 2 374, 2P.14/1998, E. 3a; StR 54/1999 S. 196, 2A.67/1997, E. 5b, S. 201).</w:t>
      </w:r>
    </w:p>
    <w:p>
      <w:r>
        <w:rPr>
          <w:b/>
        </w:rPr>
        <w:t>E. 4</w:t>
      </w:r>
    </w:p>
    <w:p>
      <w:r>
        <w:t>Die Rekurskommission hat sich beim angefochtenen Entscheid auf diese Rechtsprechung, namentlich ASA 61 S. 666 ff. (2A.56/1991) gestützt und als Realisierungszeitpunkt die Beurkundung der Kaufverträge im Oktober 1992 angenommen. Dabei hielt sie in für das Bundesgericht nach Art. 105 Abs. 2 OG verbindlicher Weise fest, dass für die Liegenschaft in C.________ bereits im Jahr 1992 eine erste Anzahlung und der Rest der Kaufpreissumme für alle Liegenschaften zu Beginn des Jahres 1993 geleistet worden sind. Auch die Handänderungssteuer wurde in C.________ bereits im November 1992 abgerechnet. Es bestand mithin keine Gefahr, dass die Verträge seitens der Käufer nicht erfüllt würden. Der Beschwerdeführer macht denn auch im bundesgerichtlichen Verfahren nicht geltend, die Vertragserfüllung sei unsicher erschienen. War aber die Erfüllung nicht unsicher und der notarielle Vertrag abgeschlossen, gilt der Ertrag im Zeitpunkt der öffentlichen Beurkundung steuerrechtlich als realisiert. In diesem Zeitpunkt ist die definitive buchhalterische Berücksichtigung vorliegend auch bilanz- bzw. zivilrechtlich zulässig (vgl. Treuhand-Kammer, Schweizerisches Handbuch der Wirtschaftsprüfung, Zürich 1998, S. 15 f., 130 f., 144 f. und 169 f., wonach verschiedene Buchungsmöglichkeiten bestehen). Die Rekurskommission nahm darum zu Recht eine steuerrechtliche Korrektur an der Handelsbilanz des Beschwerdeführers vor und erfasste die fraglichen Grundstückgewinne in der Steuerperiode 1993/94 (Bemessungsperiode 1991/92).</w:t>
      </w:r>
    </w:p>
    <w:p>
      <w:r>
        <w:rPr>
          <w:b/>
        </w:rPr>
        <w:t>E. 5</w:t>
      </w:r>
    </w:p>
    <w:p>
      <w:r>
        <w:t>Die Verwaltungsgerichtsbeschwerde erweist sich somit als unbegründet und ist abzuweisen. Entsprechend diesem Verfahrensausgang sind die bundesgerichtlichen Kosten dem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