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2A.470/2002 vom 22. Oktober 2003</w:t>
      </w:r>
    </w:p>
    <w:p>
      <w:r>
        <w:t>Bundesgericht, 2003-10-22, DE</w:t>
      </w:r>
    </w:p>
    <w:p>
      <w:r>
        <w:rPr>
          <w:b/>
        </w:rPr>
        <w:t xml:space="preserve">Quelle: </w:t>
      </w:r>
      <w:r>
        <w:t>https://mcp.opencaselaw.ch/entscheid/bger_2A.470_2002</w:t>
      </w:r>
    </w:p>
    <w:p>
      <w:r>
        <w:t>FR: TF 2A.470/2002 du 22 octobre 2003</w:t>
      </w:r>
    </w:p>
    <w:p>
      <w:r>
        <w:t>IT: TF 2A.470/2002 del 22 ottobre 2003</w:t>
      </w:r>
    </w:p>
    <w:p>
      <w:pPr>
        <w:pStyle w:val="Heading2"/>
      </w:pPr>
      <w:r>
        <w:t>Regeste</w:t>
      </w:r>
    </w:p>
    <w:p>
      <w:r>
        <w:t>Öffentliche Finanzen &amp; Abgaberecht</w:t>
      </w:r>
    </w:p>
    <w:p>
      <w:pPr>
        <w:pStyle w:val="Heading2"/>
      </w:pPr>
      <w:r>
        <w:t>Erwägungen</w:t>
      </w:r>
    </w:p>
    <w:p>
      <w:r>
        <w:rPr>
          <w:b/>
        </w:rPr>
        <w:t>E. 1</w:t>
      </w:r>
    </w:p>
    <w:p>
      <w:r>
        <w:t>Die beiden Verwaltungsgerichtsbeschwerden richten sich gegen den gleichen Entscheid und stehen sachlich und prozessual in einem engen Zusammenhang. Es rechtfertigt sich deshalb, die Beschwerden, in sinngemässer Anwendung von Art. 24 BZP in Verbindung mit Art. 40 OG , in einem Verfahren zusammenzufassen und in einem einzigen Entscheid zu beurteilen (vgl. BGE 113 Ia 390 E. 1 S. 394).</w:t>
      </w:r>
    </w:p>
    <w:p>
      <w:r>
        <w:rPr>
          <w:b/>
        </w:rPr>
        <w:t>E. 2.1</w:t>
      </w:r>
    </w:p>
    <w:p>
      <w:r>
        <w:t>Die Bundessteuer-Rekurskommission des Kantons Zürich handelte im vorliegenden Fall als kantonale Steuerrekurskommission im Sinne von Art. 140 ff. DBG . Gegen deren Entscheid ist die Verwaltungsgerichtsbeschwerde zulässig ( Art. 146 DBG ). Die Steuerpflichtigen als direkte Adressaten (vgl. Art. 103 lit. a OG ) und das Kantonale Steueramt Zürich als kantonale Verwaltung für die direkte Bundessteuer sind zur Beschwerde legitimiert (vgl. Art. 146 zweiter Satz DBG in Verbindung mit Art. 103 lit. c OG ). Auf die Beschwerde ist einzutreten.</w:t>
      </w:r>
    </w:p>
    <w:p>
      <w:r>
        <w:rPr>
          <w:b/>
        </w:rPr>
        <w:t>E. 2.2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Nach Art. 105 Abs. 1 OG kann das Bundesgericht die Feststellung des Sachverhalts von Amtes wegen überprüfen. Hat jedoch eine richterliche Behörde als Vorinstanz entschieden und den Sachverhalt nicht offensichtlich unrichtig, unvollständig oder unter Verletzung wesentlicher Verfahrensvorschriften festgestellt, ist das Bundesgericht an die Sachverhaltsfeststellung gebunden ( Art. 105 Abs. 2 OG ). Soweit die Steuerpflichtigen verlangen, die Sachverhaltsfeststellungen der Vorinstanz seien in Anwendung von Art. 105 Abs. 1 OG zu überprüfen, übersehen sie, dass es sich bei der Bundessteuer-Rekurskommission um eine von der Verwaltung funktionell und personell unabhängige Beschwerdeinstanz handelt, die eine richterliche Behörde im Sinne von Art. 105 Abs. 2 OG darstellt (vgl. Art. 140 Abs. 1 DBG sowie Art. 98a OG ). Dass die qualifizierten Voraussetzungen von Art. 105 Abs. 2 OG erfüllt wären, wonach das Bundesgericht ausnahmsweise nicht an die tatsächlichen Feststellungen einer gerichtlichen Behörde gebunden wäre, ist nicht ersichtlich. Namentlich ist eine Sachverhaltsermittlung nicht schon dann offensichtlich unrichtig, wenn sich Zweifel anmelden, sondern erst, wenn sie eindeutig und augenfällig unzutreffend ist (ASA 65 390 E. 3a S. 393). Die entsprechenden Ausführungen der Steuerpflichtigen zu den Sachverhaltserhebungen der Vorinstanz greifen daher ins Leere.</w:t>
      </w:r>
    </w:p>
    <w:p>
      <w:r>
        <w:rPr>
          <w:b/>
        </w:rPr>
        <w:t>E. 3.1</w:t>
      </w:r>
    </w:p>
    <w:p>
      <w:r>
        <w:t>Nach Art. 33 Abs. 1 lit. a DBG (in der hier anwendbaren Fassung vom 14. Dezember 1990; AS 1991 1184, S. 1196) werden von den Einkünften die Schuldzinsen abgezogen. Eine betragsmässige Beschränkung des Abzuges wurde erst mit dem Bundesgesetz über das Stabilisierungsprogramm 1998 vom 19. März 1999 (AS 1999 2374, S. 2386) eingeführt, das am 1. Januar 2001 in Kraft trat und hier noch nicht anwendbar ist. Abzugsberechtigt sind Schuldzinsen, die der Finanzierung von Bedürfnissen und Aufwendungen dienen können. Das trifft an sich in der Regel auch für Kapitalversicherungen mit fremdfinanzierter Einmalprämie zu. Nach der bundesgerichtlichen Rechtsprechung bleibt in solchen Fällen aber zu prüfen, ob der Steuerpflichtige mit dem Abschluss seiner Einmalprämienversicherung und der Finanzierung der Einmalprämie durch ein Darlehen eine Steuerumgehung begeht ( BGE 107 Ib 315 ; ASA 55 129). Diese Praxis wurde allerdings noch unter der Geltung des Beschlusses über die direkte Bundessteuer (BdBSt) entwickelt. Die Steuerpflichtigen sind zusammen mit der Minderheit der Vorinstanz der Auffassung, unter der Regelung des Bundesgesetzes über die direkte Bundessteuer vom 14. Dezember 1990/7. Oktober 1994 sei die frühere Praxis zur Steuerumgehung bei fremdfinanzierten Kapitalversicherungen mit Einmalprämie nicht (mehr) anwendbar, wobei sie sich auf eine systematische Auslegung von Art. 33 DBG in Verbindung mit Art. 20 DBG und den Willen des Gesetzgebers berufen.</w:t>
      </w:r>
    </w:p>
    <w:p>
      <w:r>
        <w:rPr>
          <w:b/>
        </w:rPr>
        <w:t>E. 3.2</w:t>
      </w:r>
    </w:p>
    <w:p>
      <w:r>
        <w:t>Nach Art. 20 Abs. 1 lit. a DBG in der hier anwendbaren Fassung vom 7. Oktober 1994 (AS 1995 1445) sind unter anderem als Erträge aus beweglichem Vermögen steuerbar Zinsen aus Guthaben, einschliesslich ausbezahlter Erträge aus rückkaufsfähigen Kapitalversicherungen mit Einmalprämie im Erlebnisfall oder bei Rückkauf, ausser wenn diese Kapitalversicherungen der Vorsorge dienen (erster Satz); als der Vorsorge dienend gilt die Auszahlung der Versicherungsleistung ab dem vollendeten 60. Altersjahr des Versicherten aufgrund eines mindestens fünfjährigen Vertragsverhältnisses (zweiter Satz); in diesem Fall ist die Leistung steuerfrei (dritter Satz). Die Steuerpflichtigen sind der Ansicht, die Bestimmung über die Steuerbarkeit von Zinsen als Erträgen stehe in Zusammenhang mit der in Art. 33 DBG geregelten Abzugsfähigkeit von Schuldzinsen; der Gesetzgeber habe jedenfalls für die hier fraglichen Steuerperioden bewusst in Kauf genommen, dass die Zinsen für fremdfinanzierte Kapitalversicherungen mit Einmalprämie in jedem Fall abzugsberechtigt seien, ansonsten er eine ausdrücklich anders lautende Regelung hätte treffen müssen; da er den Vorbehalt der Steuerumgehung in Kenntnis der Praxis, die unter dem Beschluss über die direkte Bundessteuer galt, nicht ins Gesetz aufgenommen habe, dürfe dieser nicht mehr Anwendung finden. Diese Auffassung trifft indessen nicht zu. Art. 20 Abs. 1 lit. a DBG beschränkt einzig die Steuerfreiheit hinsichtlich der Erträge von Kapitalversicherungen mit Einmalprämie, die nicht der Vorsorge im Sinne dieser Bestimmung dienen. Auch fremdfinanzierten Kapitalversicherungen mit Einmalprämie wird nämlich die Steuerfreiheit nach Art. 20 Abs. 1 lit. a DBG zuerkannt, soweit die gesetzlichen Voraussetzungen erfüllt sind. Die Frage der Abzugsfähigkeit von Schuldzinsen nach Art. 33 Abs. 1 lit. a DBG bleibt davon grundsätzlich unberührt und ist unabhängig zu prüfen. Es ist nicht ersichtlich, weshalb aus dem Fehlen des Ausschlusses von fremdfinanzierten Kapitalversicherungen mit Einmalprämie in Art. 20 Abs. 1 lit. a DBG auf eine Absicht des Gesetzgebers hinsichtlich der Abzugsfähigkeit der damit verbundenen Schuldzinsen gemäss Art. 33 Abs. 1 lit. a DBG geschlossen werden muss. Auch wenn der Gesetzgeber, wie die Steuerpflichtigen geltend machen, die Missbrauchsbekämpfung bereits teilweise in die gesetzliche Regelung integrieren wollte (vgl. etwa BBl 1983 III 172), bedeutet dies nicht, dass damit kein Raum mehr für die Annahme einer Steuerumgehung bleibt, wenn aufgrund der konkreten Umstände die Voraussetzungen einer solchen erfüllt sind. Damit ist die bisherige Praxis zur Steuerumgehung auch unter der Geltung des Bundesgesetzes weiterhin anzuwenden (Peter Locher, Kommentar zum DBG, I. Teil, Therwil/ Basel 2001, N 34 f. zu Art. 20). Im Ergebnis liegt darin im Übrigen ein wesentlicher Unterschied, was die Steuerpflichtigen zu verkennen scheinen: Soweit das Gesetz einen Abzug nicht zulässt, erweist sich die entsprechende Steuererleichterung als überhaupt ausgeschlossen, womit sich die Frage der Steuerumgehung gar nicht stellt; soweit ein Abzug vorgesehen ist, erweist er sich als zulässig, es sei denn, es liege eine Steuerumgehung vor.</w:t>
      </w:r>
    </w:p>
    <w:p>
      <w:r>
        <w:rPr>
          <w:b/>
        </w:rPr>
        <w:t>E. 4.1</w:t>
      </w:r>
    </w:p>
    <w:p>
      <w:r>
        <w:t>Grundsätzlich haben die Steuerbehörden auf die von den Steuerpflichtigen geschlossenen Verträge abzustellen. Sie dürfen jedoch davon abweichen, wenn die Pflichtigen nur um der Steuerersparnis willen ein ungewöhnliches Vorgehen gewählt haben, d.h. wenn eine Steuerumgehung vorliegt. Eine solche wird nach der bundesgerichtlichen Rechtsprechung (vgl. StE 2001 A 12 Nr. 10 und Nr. 11; ASA 64 80; ASA 63 218) angenommen, wenn: - eine von den Beteiligten gewählte Rechtsgestaltung als ungewöhnlich (insolite), sachwidrig oder absonderlich, jedenfalls den wirtschaftlichen Gegebenheiten völlig unangemessen erscheint, wenn zudem - anzunehmen ist, dass die gewählte Rechtsgestaltung missbräuchlich lediglich deshalb getroffen wurde, um Steuern einzusparen, die bei sachgemässer Ordnung der Verhältnisse geschuldet wären, und wenn - das gewählte Vorgehen tatsächlich zu einer erheblichen Steuerersparnis führen würde, sofern es von der Steuerbehörde hingenommen würde. Ob diese Voraussetzungen erfüllt sind, ist aufgrund der konkreten Umstände des Einzelfalles zu prüfen.</w:t>
      </w:r>
    </w:p>
    <w:p>
      <w:r>
        <w:rPr>
          <w:b/>
        </w:rPr>
        <w:t>E. 4.2</w:t>
      </w:r>
    </w:p>
    <w:p>
      <w:r>
        <w:t>Bei Kapitalversicherungen mit Einmalprämie stellt das Bundesgericht bei der Prüfung einer Steuerumgehung unter anderem darauf ab, ob im Einzelfall sachlich einleuchtende Gründe dafür sprechen, die Einmalprämie durch Darlehensaufnahme und nicht durch eigene Mittel zu finanzieren; trifft dies zu, liegt keine absonderliche Gestaltung der Rechtsverhältnisse und damit auch keine Steuerumgehung vor. Bei einem Steuerpflichtigen mit einem Reinvermögen, das den Betrag der Einmalprämie wesentlich übersteigt, ist überdies ein Vergleich zwischen dem Ertrag der eigenen Mittel bei anderweitiger Kapitalanlage sowie der für das Darlehen zu bezahlenden Passivzinsen wesentlich (vgl. BGE 107 Ib 315 ; ASA 55 129). Die Vorinstanz hat dazu ausgeführt, massgebendes Kriterium dafür, ob einleuchtende Gründe für die Fremdfinanzierung bestünden, sei der Mobilisierungsgrad des Vermögens, wobei solches dann als immobil gelte, wenn ein Sachwert vom Steuerpflichtigen privat oder geschäftlich genutzt werde, wenn er nicht in nützlicher Frist zu einem angemessenen Preis veräussert werden könne oder wenn er eine besonders hohe Rendite abwerfe, d.h. wenn diese Rendite die für das Darlehen zu entrichtenden Passivzinsen deutlich übersteige. Die Steuerpflichtigen fechten diese rechtliche Beurteilung der Vorinstanz im Wesentlichen in zweierlei Hinsicht an: Erstens sei die Ehefrau nicht Versicherungsnehmerin und auch nicht Schuldnerin des für die Leistung der Einmalprämie aufgenommenen Darlehens, weshalb ihre Vermögensanteile nicht zu berücksichtigen seien; zweitens sei das massgebliche Vermögen entgegen der Ansicht der Vorinstanz im Sinne der anwendbaren Kriterien überwiegend immobil.</w:t>
      </w:r>
    </w:p>
    <w:p>
      <w:r>
        <w:rPr>
          <w:b/>
        </w:rPr>
        <w:t>E. 4.3</w:t>
      </w:r>
    </w:p>
    <w:p>
      <w:r>
        <w:t>Die rechtlichen Gesichtspunkte, welche die Vorinstanz zur Prüfung der Steuerumgehung angewendet hat, sind nicht zu beanstanden. Zunächst werden die Ehegatten nach Art. 9 Abs. 1 DBG gemeinsam veranlagt, und es hat hinsichtlich des Einkommens unter Einschluss des Vermögensertrags eine Gesamtsicht zu greifen, weshalb nicht ersichtlich ist, warum die Vermögensanteile der Ehefrau bei der Frage der Steuerumgehung keine Berücksichtigung finden sollten. Soweit die Vorinstanz sodann davon ausgegangen ist, das Vermögen der Steuerpflichtigen sei in einem Umfang mobil, der den Betrag der Einmalprämien übersteige, handelt es sich um eine tatsächliche Feststellung, an die das Bundesgericht gebunden ist (vgl. E. 2.2). Gleichermassen erweist sich die Feststellung der Vorinstanz als verbindlich, dass die Durchschnittsrendite der Vermögenswerte, auf welche für die Finanzierung der Einmalprämie hätte zurückgegriffen werden können, die Passivzinsen nicht deutlich überstiegen habe. Schliesslich ist ebenfalls erstellt und an sich auch nicht strittig, dass das gewählte Vorgehen tatsächlich zu einer Steuerersparnis geführt hat, und zwar sowohl, wenn davon ausgegangen würde, statt einer Einmalprämie wäre eine periodische Prämienzahlung vereinbart worden, als auch, wenn angenommen würde, die Einmalprämie wäre nicht aus fremden, sondern aus eigenen Mitteln finanziert worden. Demnach ergibt sich, dass die Steuerpflichtigen eine ungewöhnliche Rechtsgestaltung getroffen haben, die wirtschaftlich sonderbar erscheint und missbräuchlich einzig mit der Absicht gewählt wurde, Steuern einzusparen, die sonst geschuldet gewesen und auch tatsächlich angefallen wären. Damit liegt eine Steuerumgehung vor.</w:t>
      </w:r>
    </w:p>
    <w:p>
      <w:r>
        <w:rPr>
          <w:b/>
        </w:rPr>
        <w:t>E. 5.1</w:t>
      </w:r>
    </w:p>
    <w:p>
      <w:r>
        <w:t>Sind die Voraussetzungen der Steuerumgehung erfüllt, so ist der Besteuerung die Rechtsgestaltung zugrunde zu legen, die sachgemäss gewesen wäre, um den erstrebten wirtschaftlichen Zweck zu erreichen (ASA 64 80; ASA 55 129). Dabei ist unter anderem auf das vom Steuerpflichtigen wirklich Gewollte abzustellen (vgl. ASA 64 80). Entscheidend bleibt aber der Sinn der fraglichen gesetzlichen Regelung, der sich insbesondere aus dem Gesetzeszweck ergibt. Es kommt also darauf an, welche Steuerfolgen der Gesetzgeber normalerweise vorgesehen hat, die gerade mit der beabsichtigten Steuerumgehung hätten vermieden werden sollen.</w:t>
      </w:r>
    </w:p>
    <w:p>
      <w:r>
        <w:rPr>
          <w:b/>
        </w:rPr>
        <w:t>E. 5.2</w:t>
      </w:r>
    </w:p>
    <w:p>
      <w:r>
        <w:t>Im vorliegenden Fall ist umstritten, was die Steuerpflichtigen wirklich gewollt haben. Das kantonale Steueramt und die eidgenössische Steuerverwaltung halten dafür, die beabsichtigte Rechtsgestaltung entspreche einer periodischen Finanzierung der Kapitalversicherung; die Annahme, die Steuerpflichtigen hätten in jedem Fall eine Einmalprämie gewählt, sei hypothetisch, weshalb die Vermögenserträge vollumfänglich dem Einkommen zuzurechnen seien. Demgegenüber sind die Vorinstanz und die Steuerpflichtigen der Ansicht, wenn bei der Annahme der Steuerumgehung davon ausgegangen werde, die Steuerpflichtigen hätten genügend mobile Mittel gehabt, um die Einmalprämie selber zu finanzieren, müsse ihnen eine entsprechende Vorgehensweise auch angerechnet werden, was bei der Einkommensberechnung zu einer Berücksichtigung bzw. Ausscheidung der Erträge führe, welche die eigenen Mittel im entsprechenden Umfang abgeworfen haben. Welche Lösung die Steuerpflichtigen im vorliegenden Fall tatsächlich getroffen hätten, wenn sie von einer Besteuerung ausgegangen wären, bleibt so oder so hypothetisch, haben sie doch gerade nicht eine periodische Prämie gewählt und die beschlossene Einmalprämie nicht aus eigenen Mitteln finanziert, obwohl solche in genügendem Masse vorhanden gewesen wären. Zur Erreichung des wirtschaftlichen Zieles wären verschiedene Möglichkeiten offen gestanden. Insofern bleibt die Bestimmung des hypothetischen Willens der Steuerpflichtigen spekulativ. Dieser hilft im vorliegenden Zusammenhang nicht weiter. Entscheidend bleibt somit, welches mit Blick auf den Zweck der gesetzlichen Regelung die normalen Steuerfolgen wären, wenn keine Steuerumgehung vorläge.</w:t>
      </w:r>
    </w:p>
    <w:p>
      <w:r>
        <w:rPr>
          <w:b/>
        </w:rPr>
        <w:t>E. 5.3</w:t>
      </w:r>
    </w:p>
    <w:p>
      <w:r>
        <w:t>Prämien von Kapitalversicherungen sind grundsätzlich nicht abzugsfähig mit Ausnahme der sehr eingeschränkten Möglichkeit von Art. 33 Abs. 1 lit. g DBG ; diese wird aber regelmässig im zulässigen Maximalbetrag bereits durch Abzug der Krankenkassenprämien genutzt, womit für den Abzug anderer Prämien normalerweise kaum mehr Raum bleibt (Rainer Zigerlig/Guido Jud, in: Zweifel/Athanas [Hrsg.], Bundesgesetz über die direkte Bundessteuer [DBG], Bd. I/2a, Basel/Genf/München 2000, Rz. 30 zu Art. 33). Dabei spielt keine Rolle, ob es sich um periodische Prämien oder um eine Einmalprämie handelt. Gleichzeitig ist gemäss Art. 24 lit. b DBG der Vermögensanfall aus rückkaufsfähiger privater Kapitalversicherung, ausgenommen aus Freizügigkeitspolicen, unter Vorbehalt von Art. 20 Abs. 1 lit. a DBG steuerfrei; danach sind ausbezahlte Erträge aus rückkaufsfähigen Kapitalversicherungen mit Einmalprämie ausser im Vorsorgefall steuerbar, wobei dieser Vorsorgecharakter speziell definiert wird und nicht mit dem an anderer Stelle im Gesetz verwendeten Vorsorgebegriff, etwa demjenigen von Art. 22 DBG , übereinstimmt. Das Gesetz enthält somit für private rückkaufsfähige Kapitalversicherungen unter Einschluss von solchen, die durch Einmalprämie finanziert werden und der Vorsorge dienen, eine steuerneutrale Regelung. Dieses System ist für die Steuerpflichtigen jedenfalls insoweit vorteilhaft, als die Erträge aus den fraglichen Versicherungen wie Gewinnbeteiligungen - abgesehen von den in Art. 20 Abs. 1 lit. a DBG als steuerbar vorbehaltenen Tatbeständen - steuerfrei sind (dazu Peter Agner/Angelo Digeronimo/ Hans-Jürg Neuhaus/Gotthard Steinmann, Kommentar zum Gesetz über die direkte Bundessteuer, Ergänzungsband, Art. 20, S. 37 ff., und Art. 33, S. 118 ff.; Locher, a.a.O., N 26 ff. zu Art. 20; Danielle Yersin/ Gladys Laffely Maillard, L'imposition des revenus provenant de la prévoyance dès 1995, in: StR 11/1996, S. 519 ff., insbes. S. 527 f.). Die wesentliche Wirkung der Steuerumgehung besteht nun darin, die Einmalprämie mit Blick auf den möglichen Abzug der Passivzinsen gemäss Art. 33 Abs. 1 lit. a DBG unter gleichzeitiger Steuerfreiheit der Vermögensanfälle der Kapitalversicherung mit einem Darlehen zu finanzieren. Praktisch führt dies im Ergebnis dazu, dass der Steuerpflichtige indirekt seine Einmalprämie abziehen kann. Dies widerspricht aber dem Gesetzeszweck, der bei Annahme einer Steuerumgehung den Abzug der Passivzinsen ausschliesst. Auch die gleichzeitige Anerkennung einer hypothetischen Einkommensverminderung, die dem Ertrag eines Vermögensanteils in der Höhe der Einmalprämie entspricht, führt zu einer teilweisen indirekten Abzugsmöglichkeit für die Einmalprämie und steht im Widerspruch zum Gesetzeszweck.</w:t>
      </w:r>
    </w:p>
    <w:p>
      <w:r>
        <w:rPr>
          <w:b/>
        </w:rPr>
        <w:t>E. 5.4</w:t>
      </w:r>
    </w:p>
    <w:p>
      <w:r>
        <w:t>Im Übrigen hat das Bundesgericht, obwohl es sich in seiner bisherigen Rechtsprechung nie ausdrücklich eingehend mit den Rechtsfolgen einer Steuerumgehung im vorliegenden Zusammenhang auseinandergesetzt hat, diese doch immer gleich gehandhabt; insbesondere ist es bisher nicht rechnerisch von einer teilweisen Kompensation des Ausschlusses des Abzugs von Passivzinsen durch Anerkennung einer Einkommensverminderung ausgegangen (vgl. etwa ASA 44 460; Urteil 2A.195/1991 vom 23. April 1993). Im Ergebnis kommt der angefochtene Entscheid daher einer Praxisänderung gleich. Dafür gibt es jedoch keine genügenden Gründe; im Gegenteil ist im fraglichen Zusammenhang am Ausschluss des Abzugs der Passivzinsen und damit auch am Ausschluss der Kompensation durch eine rechnerische Verminderung des Ertrags des Vermögens in der Höhe der Einmalprämie festzuhalten.</w:t>
      </w:r>
    </w:p>
    <w:p>
      <w:r>
        <w:rPr>
          <w:b/>
        </w:rPr>
        <w:t>E. 5.5</w:t>
      </w:r>
    </w:p>
    <w:p>
      <w:r>
        <w:t>Die Vorinstanz hat somit im vorliegenden Fall Bundesrecht verletzt, indem sie nicht nur im Hinblick auf die Steuerumgehung die Schuldzinsen aufrechnete, sondern auf der Gegenseite steuermindernd berücksichtigte, dass die hypothetischerweise für die Finanzierung verwendeten Eigenmittel keine Erträge mehr abgeworfen hätten. Dass den Vorinstanzen im Übrigen ein Fehler bei der Berechnung der Bundessteuern unterlaufen sei, wird nicht geltend gemacht und ist auch nicht ersichtlich, weshalb auf die Veranlagung gemäss dem Einspracheentscheid des Kantonalen Steueramts Zürich vom 26. Februar 2001 abgestellt werden kann.</w:t>
      </w:r>
    </w:p>
    <w:p>
      <w:r>
        <w:rPr>
          <w:b/>
        </w:rPr>
        <w:t>E. 6.1</w:t>
      </w:r>
    </w:p>
    <w:p>
      <w:r>
        <w:t>Insgesamt erweist sich die Verwaltungsgerichtsbeschwerde der Steuerpflichtigen als unbegründet, weshalb sie abzuweisen ist. Hingegen ist die Verwaltungsgerichtsbeschwerde des Kantonalen Steueramts Zürich gutzuheissen und der angefochtene Entscheid aufzuheben. Gleichzeitig ist der Einspracheentscheid des Kantonalen Steueramts Zürich vom 26. Februar 2001 zu bestätigen, womit die Steuerpflichtigen bei der direkten Bundessteuer für die Steuerperiode 1995/96 mit einem steuerbaren Einkommen von Fr. 607'400.-- und für die Steuerperiode 1997/98 mit einem solchen von Fr. 611'400.-- eingeschätzt werden.</w:t>
      </w:r>
    </w:p>
    <w:p>
      <w:r>
        <w:rPr>
          <w:b/>
        </w:rPr>
        <w:t>E. 6.2</w:t>
      </w:r>
    </w:p>
    <w:p>
      <w:r>
        <w:t>Bei diesem Verfahrensausgang sind die Gerichtskosten den Steuerpflichtigen unter Solidarhaft aufzuerlegen (Art. 156 Abs. 1 und 7, Art. 153 und 153a OG ). Eine Parteientschädigung ist nicht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