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2A.45/2004 vom 13. September 2004</w:t>
      </w:r>
    </w:p>
    <w:p>
      <w:r>
        <w:t>Bundesgericht, 2004-09-13, DE</w:t>
      </w:r>
    </w:p>
    <w:p>
      <w:r>
        <w:rPr>
          <w:b/>
        </w:rPr>
        <w:t xml:space="preserve">Quelle: </w:t>
      </w:r>
      <w:r>
        <w:t>https://mcp.opencaselaw.ch/entscheid/bger_2A.45_2004</w:t>
      </w:r>
    </w:p>
    <w:p>
      <w:r>
        <w:t>FR: TF 2A.45/2004 du 13 septembre 2004</w:t>
      </w:r>
    </w:p>
    <w:p>
      <w:r>
        <w:t>IT: TF 2A.45/2004 del 13 settembre 2004</w:t>
      </w:r>
    </w:p>
    <w:p>
      <w:pPr>
        <w:pStyle w:val="Heading2"/>
      </w:pPr>
      <w:r>
        <w:t>Regeste</w:t>
      </w:r>
    </w:p>
    <w:p>
      <w:r>
        <w:t>Öffentliche Finanzen &amp; Abgaberecht</w:t>
      </w:r>
    </w:p>
    <w:p>
      <w:pPr>
        <w:pStyle w:val="Heading2"/>
      </w:pPr>
      <w:r>
        <w:t>Erwägungen</w:t>
      </w:r>
    </w:p>
    <w:p>
      <w:r>
        <w:rPr>
          <w:b/>
        </w:rPr>
        <w:t>E. 1.1</w:t>
      </w:r>
    </w:p>
    <w:p>
      <w:r>
        <w:t>Die Eidgenössische Steuerrekurskommission hat mit zwei Urteilen vom 17. Dezember 2003 sowohl über die Sicherstellungsverfügung der Eidgenössischen Steuerverwaltung vom 9. Juli 2003 über Fr. 170'000.-- als auch über die Sicherstellungsverfügung vom 14. August 2000 befunden und beide Beschwerden der A.________ GmbH abgewiesen. Auf Grund der Eingabe vom 20. Januar 2004 an das Bundesgericht ist davon auszugehen, dass nur die erste Sicherstellung über Fr. 170'000.-- welche mit Entscheid der Eidgenössischen Steuerrekurskommission Nr. 2003 - 000 beurteilt wurde, angefochten ist. Dies ergibt sich sowohl aus dem Betreff der Eingabe vom 20. Januar 2004, welcher nur den Entscheid SRK 2003 - 000 erwähnt als auch aus der Begründung. Streitgegenstand bildet demnach nur das Urteil der Eidgenössischen Steuerrekurskommission vom 17. Dezember 2003, das die Sicherstellung über Fr. 170'000.-- betrifft.</w:t>
      </w:r>
    </w:p>
    <w:p>
      <w:r>
        <w:rPr>
          <w:b/>
        </w:rPr>
        <w:t>E. 1.2</w:t>
      </w:r>
    </w:p>
    <w:p>
      <w:r>
        <w:t>Beschwerdeentscheide der Eidgenössischen Steuerrekurskommission können nach den Artikeln 97 ff. OG mit Verwaltungsgerichtsbeschwerde beim Bundesgericht angefochten werden (Art. 66 Abs. 1 und Art. 70 Abs. 4 des Bundesgesetzes vom 2. September 1999 über die Mehrwertsteuer [MWStG; SR 641.20]). Die Beschwerdeführerin ist gemäss Art. 103 lit. a OG zur Beschwerde legitimiert. Auf die fristgerecht eingereichte Beschwerde ist einzutreten.</w:t>
      </w:r>
    </w:p>
    <w:p>
      <w:r>
        <w:rPr>
          <w:b/>
        </w:rPr>
        <w:t>E. 1.3</w:t>
      </w:r>
    </w:p>
    <w:p>
      <w:r>
        <w:t>Mit Verwaltungsgerichtsbeschwerde können nach Art. 104 lit. a und b OG die Verletzung von Bundesrecht einschliesslich Überschreitung oder Missbrauch des Ermessens und die unrichtige oder unvollständige Feststellung des rechtserheblichen Sachverhalts gerügt werden. Das Bundesgericht wendet das Bundesrecht im Verfahren der Verwaltungsgerichtsbeschwerde von Amtes wegen an, ohne an die Begründung der Parteibegehren gebunden zu sein (vgl. Art. 114 Abs. 1 OG ). An die Sachverhaltsfeststellung ist das Bundesgericht gebunden, wenn - wie hier - eine richterliche Behörde als Vorinstanz entschieden und diese den Sachverhalt nicht offensichtlich unrichtig oder unter Verletzung wesentlicher Verfahrensbestimmungen festgestellt hat ( Art. 105 Abs. 2 OG ).</w:t>
      </w:r>
    </w:p>
    <w:p>
      <w:r>
        <w:rPr>
          <w:b/>
        </w:rPr>
        <w:t>E. 2.1</w:t>
      </w:r>
    </w:p>
    <w:p>
      <w:r>
        <w:t>Art. 70 Abs. 1 MWStG sieht vor, dass die Eidgenössische Steuerverwaltung Steuern, Zinsen und Kosten sicherstellen kann, selbst wenn diese weder rechtskräftig festgesetzt noch fällig sind. Voraussetzung hierfür ist, dass neben einer wahrscheinlichen Steuerforderung einer der nachfolgenden vier Sicherstellungsgründe erfüllt ist. Nämlich a) deren Bezahlung gefährdet ist, b) die zahlungspflichtige Person Anstalten trifft ihren Wohn- oder Geschäftssitz oder ihre Betriebsstätte in der Schweiz aufzugeben oder sich im schweizerischen Handelsregister löschen zu lassen, c) die zahlungspflichtige Person mit der Zahlung der Steuer im Verzug ist, bzw. d) die steuerpflichtige Person den Geschäftsbetrieb einer Unternehmung ganz oder teilweise übernimmt, über die der Konkurs eröffnet worden ist ( Art. 70 Abs. 1 lit. a - d MWStG ). Im vorliegenden Fall stützte sich die Eidgenössische Steuerverwaltung beim Erlass ihrer Sicherstellungsverfügung unter anderem auf den abstrakten Gefährdungstatbestand des Steuerverzuges gemäss Art. 70 Abs. 1 lit. a MWStG . Eine Zahlungsgefährdung im Sinne dieser Bestimmung liegt dann vor, wenn kumulativ 1.) eine Gefährdung bzw. eine mögliche Gefährdung der Steuerforderung vorliegt, wenn 2.) ein ursächlicher Zusammenhang zwischen dem Verhalten des Steuerpflichtigen und der Gefährdung der Steuerforderung besteht und 3.) die erlassene Sicherstellungsverfügung bezüglich ihrer Höhe und der zeitlichen Erstreckung verhältnismässig ist (vgl. Urteil des Bundesgerichts 2A.130/2000 vom 7. August 2000 E. 3a; Camenzind/Honauer/Vallender, Handbuch zum Mehrwertsteuergesetz, Bern, Stuttgart, Wien, 2003, 2. Aufl., Rz. 1745, S. 593 f.; Wernli Jürg, in: mwst.com, Kommentar zum Bundesgesetz über die Mehrwertsteuer, Basel, Genf, München, 2000, Rz. 12 zu Art. 70 MWStG , S. 909 f.) Art. 70 Abs. 1 lit. a MWStG stellt eine Generalklausel dar, wobei in der Praxis davon ausgegangen wird, dass eine Bezugsgefährdung schon in groben Verletzungen der Mitwirkungspflicht erblickt werden kann (Thomas Jörg Kaufmann, Die Sicherstellung von Mehrwertsteuern, in: ASA 67, S. 617). Daneben verweist die Eidgenössische Steuerverwaltung in der Sicherstellungsverfügung aber auch auf Art. 70 Abs. 1 lit. c MWStG , weil die Steuerforderung nicht nur fällig, sondern die Steuerpflichtige auch mit der Bezahlung derselben in Verzug ist.</w:t>
      </w:r>
    </w:p>
    <w:p>
      <w:r>
        <w:rPr>
          <w:b/>
        </w:rPr>
        <w:t>E. 2.2.1</w:t>
      </w:r>
    </w:p>
    <w:p>
      <w:r>
        <w:t>Im vorliegenden Fall wird von Seiten der Beschwerdeführerin weder bestritten, dass der allgemeine Gefährdungstatbestand des Art. 70 Abs. 1 lit. a MWStG vorliegt, d.hdass die Bezahlung der geschuldeten Mehrwertsteuer gefährdet ist, noch geltend gemacht, dass die Voraussetzungen zur Sicherstellung nach Art. 70 Abs. 1 lit. c MWStG - d.h. die zahlungspflichtige Person ist mit der Zahlung der Steuer im Verzug - nicht erfüllt wären. Sie beanstandet einzig, die mit Ergänzungsabrechnung Nr. 000'000 erhobene Mehrwertsteuer sei zu hoch bzw. der Eintrag im Register für Mehrwertsteuerpflichtige sei zu Unrecht erfolgt. Die Frage der Steuerpflicht wurde durch die Eidgenössische Steuerverwaltung mit Entscheid vom 27. Januar 2004 verbindlich geklärt. Dieser Entscheid wurde nicht angefochten und ist demnach in Rechtskraft erwachsen. Die von der Beschwerdeführerin geltend gemachten Einwände treffen folglich nicht zu.</w:t>
      </w:r>
    </w:p>
    <w:p>
      <w:r>
        <w:rPr>
          <w:b/>
        </w:rPr>
        <w:t>E. 2.2.2</w:t>
      </w:r>
    </w:p>
    <w:p>
      <w:r>
        <w:t>Die Prüfung der von der Eidgenössischen Steuerverwaltung angewandten Sicherstellungsgründe halten auch einer materiellen Prüfung stand. Die nach Art. 70 Abs. 1 lit. a MWStG für eine Sicherstellung erforderliche Gefährdung ergibt sich aus dem Umstand, dass sich die Beschwerdeführerin nicht in das Register für Mehrwertsteuerpflichtige eintragen liess und sich im Weiteren der angekündigten Kontrolle entzog und damit jegliche Kooperationsbereitschaft vermissen liess. Die damit vom Geschäftsführer der Beschwerdeführerin verursachten Handlungen stehen in einem ursächlichen Zusammenhang zur gefährdeten Steuerforderung. Ferner bestehen auch keine Anhaltspunkte, dass die Eidgenössische Steuerverwaltung das ihr zustehende Ermessen bezüglich Höhe und zeitlicher Erstreckung der Sicherstellung unverhältnismässig ausgeübt hätte, zumal die Steuernachforderung über Fr. 158'921.-- nebst Verzugszins von 5 % mittlerweile in Rechtskraft erwachsen ist. Der bei der Sicherstellung festgesetzte Betrag von Fr. 170'000.-- erscheint daher angemessen.</w:t>
      </w:r>
    </w:p>
    <w:p>
      <w:r>
        <w:rPr>
          <w:b/>
        </w:rPr>
        <w:t>E. 3.1</w:t>
      </w:r>
    </w:p>
    <w:p>
      <w:r>
        <w:t>Die Verwaltungsgerichtsbeschwerde erweist sich demnach als unbegründet und ist abzuweisen.</w:t>
      </w:r>
    </w:p>
    <w:p>
      <w:r>
        <w:rPr>
          <w:b/>
        </w:rPr>
        <w:t>E. 3.2</w:t>
      </w:r>
    </w:p>
    <w:p>
      <w:r>
        <w:t>Bei diesem Ausgang des Verfahrens wird die Beschwerdeführerin grundsätzlich kostenpflichtig ( Art. 156 Abs. 1 OG ). Mit Schreiben vom 12. September 2004 hat die Beschwerdeführerin dargelegt, dass die Leistung eines Kostenvorschusses nicht möglich sei, weil sämtliche Gegenstände der Gesellschaft mit Arrest belegt sind. Damit wird sinngemäss ein Gesuch um unentgeltliche Rechtspflege gestellt. Unter welchen Umständen einer juristischen Person die grundsätzlich auf natürliche Personen zugeschnittene unentgeltliche Rechtspflege gewährt werden könnte ( BGE 119 Ia 337 E. 4b S. 339 mit Hinweisen), kann offen bleiben, da im vorliegenden Fall dem Gesuch um unentgeltliche Rechtspflege ohnehin wegen Aussichtslosigkeit der Rechtsbegehren nicht entsprochen werden kann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