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2A.455/2005 vom 2. September 2005</w:t>
      </w:r>
    </w:p>
    <w:p>
      <w:r>
        <w:t>Bundesgericht, 2005-09-02, FR</w:t>
      </w:r>
    </w:p>
    <w:p>
      <w:r>
        <w:rPr>
          <w:b/>
        </w:rPr>
        <w:t xml:space="preserve">Quelle: </w:t>
      </w:r>
      <w:r>
        <w:t>https://mcp.opencaselaw.ch/entscheid/bger_2A.455_2005</w:t>
      </w:r>
    </w:p>
    <w:p>
      <w:r>
        <w:t>FR: TF 2A.455/2005 du 2 septembre 2005</w:t>
      </w:r>
    </w:p>
    <w:p>
      <w:r>
        <w:t>IT: TF 2A.455/2005 del 2 settembre 2005</w:t>
      </w:r>
    </w:p>
    <w:p>
      <w:pPr>
        <w:pStyle w:val="Heading2"/>
      </w:pPr>
      <w:r>
        <w:t>Erwägungen</w:t>
      </w:r>
    </w:p>
    <w:p>
      <w:r>
        <w:rPr>
          <w:b/>
        </w:rPr>
        <w:t>E. 1</w:t>
      </w:r>
    </w:p>
    <w:p>
      <w:r>
        <w:t>Le présent recours est recevable selon les art. 100 al. 1 lettre b ch. 3 et 101 lettre d OJ, en tant qu'il s'en prend à l'arrêt du Tribunal administratif du 14 juin 2005. En revanche, dans la mesure où il est dirigé contre la décision du Service cantonal du 23 septembre 2004, il est irrecevable au regard de l'art. 98 lettre g OJ, car cette décision n'émane pas d'une autorité cantonale statuant en dernière instance.</w:t>
      </w:r>
    </w:p>
    <w:p>
      <w:r>
        <w:rPr>
          <w:b/>
        </w:rPr>
        <w:t>E. 2.1</w:t>
      </w:r>
    </w:p>
    <w:p>
      <w:r>
        <w:t>D'après l' art. 7 LSEE , le conjoint étranger d'un ressortissant suisse a droit à l'octroi et à la prolongation de l'autorisation de séjour (al. 1 1ère phrase) et, après un séjour régulier et ininterrompu de cinq ans, il a droit à l'autorisation d'établissement (al. 1 2ème phrase),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cet objectif n'est pas protégé par l' art. 7 al. 1 LSEE ( ATF 128 II 145 consid. 2.2 p. 151; 121 II 97 consid. 4a p. 104). A l'échéance du délai de cinq ans, le conjoint étranger dispose d'un droit propre et indépendant à une autorisation d'établissement et n'a donc plus besoin de se référer au mariage ( ATF 121 II 97 consid. 4c p. 104/105). Selon l' art. 9 al. 4 lettre a LSEE , l'autorisation d'établissement peut cependant être révoquée lorsque l'étranger l'a obtenue par surprise, en faisant de fausses déclarations ou en dissimulant des faits essentiels. Une simple négligence ne suffit pas; il faut que le requérant ait intentionnellement donné de fausses indications ou dissimulé des faits essentiels dans l'intention d'obtenir l'autorisation d'établissement ( ATF 112 Ib 473 consid. 3b p. 475). L'étranger est tenu de renseigner exactement l'autorité sur tout ce qui est de nature à déterminer sa décision ( art. 3 al. 2 LSEE ). Sont essentiels non seulement les faits au sujet desquels l'autorité administrative pose expressément des questions au requérant, mais encore ceux dont il doit savoir qu'ils sont déterminants pour l'octroi de l'autorisation. Il importe peu que l'autorité eût pu découvrir de tels faits par elle-même si elle avait fait preuve de diligence. L'étranger doit en particulier indiquer si la communauté conjugale n'est plus effectivement vécue (arrêt 2A.199/2005 du 13 avril 2005, consid. 2.1). Même lorsque ces conditions sont remplies, l'autorité n'est pas tenue de prononcer la révocation; elle doit examiner les circonstances du cas particulier et dispose d'une certaine marge d'appréciation ( ATF 112 Ib 473 consid. 4 p. 478).</w:t>
      </w:r>
    </w:p>
    <w:p>
      <w:r>
        <w:rPr>
          <w:b/>
        </w:rPr>
        <w:t>E. 2.2</w:t>
      </w:r>
    </w:p>
    <w:p>
      <w:r>
        <w:t>Selon l'arrêt attaqué, le recourant a caché aux autorités que sa femme et lui-même s'étaient séparés l'année de leur mariage et qu'il avait eu lui-même un enfant d'une relation extra-conjugale en 2001. Il a donc dissimulé des faits essentiels au sens de l' art. 9 al. 4 lettre a LSEE . Par ailleurs, une fois l'autorisation d'établissement obtenue, le recourant a annoncé la modification de sa situation matrimoniale, qui remontait déjà à plus de quatre ans. En outre, il ressort de l'arrêt attaqué qu'en juin 2001, les époux X.________ ont convenu de vivre séparés pour une durée indéterminée et de ne pas introduire de procédure de divorce avant le mois de janvier 2002. Le comportement ainsi adopté par le recourant ne s'explique que par le fait qu'il savait qu'il devait informer les autorités et connaissait les conséquences qu'aurait eues l'annonce de la séparation d'avec sa femme - voire de l'existence d'un enfant adultérin - sur l'octroi d'une autorisation d'établissement. Le fait qu'il ait différé cette annonce ainsi que le début d'une procédure de divorce démontre qu'il avait l'intention de tromper les autorités. C'est donc à juste titre que le Tribunal administratif a confirmé qu'il existait en l'espèce un abus de droit antérieur au délai de cinq ans de l' art. 7 al. 1 LSEE justifiant la révocation de l'autorisation d'établissement sur la base de l' art. 9 al. 4 lettre a LSEE ainsi que le refus d'autorisation d'entrée en Suisse, respectivement de séjour au titre du regroupement familial, pour la femme et l'enfant du recourant. Au surplus, le Tribunal administratif a développé une argumentation convaincante (arrêt attaqué, consid. 1 à 3, p. 3-5) à laquelle on peut se référer ( art. 36a al. 3 OJ ).</w:t>
      </w:r>
    </w:p>
    <w:p>
      <w:r>
        <w:t>Contrairement à ce que soutient le recourant, l'arrêt attaqué se fonde non pas tellement sur des "mensonges" de l'intéressé que sur la dissimulation de faits essentiels qu'il aurait dû annoncer selon l' art. 3 al. 2 LSEE . Au demeurant, les faits pertinents retenus par le Tribunal administratif ne sont pas contestés par le recourant.</w:t>
      </w:r>
    </w:p>
    <w:p>
      <w:r>
        <w:rPr>
          <w:b/>
        </w:rPr>
        <w:t>E. 3.1</w:t>
      </w:r>
    </w:p>
    <w:p>
      <w:r>
        <w:t>Le recourant reproche au Tribunal administratif d'avoir violé son droit d'être entendu et, par là même, commis un déni de justice, en ne procédant pas à l'audition de témoins qu'il avait requise; l'autorité intimée lui a imparti un délai pour produire des déclarations écrites desdits témoins, mais n'a même pas évoqué "ces récits écrits" dans l'arrêt attaqué.</w:t>
      </w:r>
    </w:p>
    <w:p>
      <w:r>
        <w:rPr>
          <w:b/>
        </w:rPr>
        <w:t>E. 3.2</w:t>
      </w:r>
    </w:p>
    <w:p>
      <w:r>
        <w:t>Le droit d'être entendu découlant de l' art. 29 al. 2 Cst.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428/429).</w:t>
      </w:r>
    </w:p>
    <w:p>
      <w:r>
        <w:rPr>
          <w:b/>
        </w:rPr>
        <w:t>E. 3.3</w:t>
      </w:r>
    </w:p>
    <w:p>
      <w:r>
        <w:t>Le Tribunal administratif n'a pas procédé à une audition de témoins, mais il a donné la possibilité au recourant de produire des déclarations écrites des personnes qu'il voulait faire entendre. De plus, le recourant n'indique pas quel fait pertinent ignoré de l'autorité intimée n'aurait pu être établi que par une audition de témoins. Le Tribunal administratif n'a donc pas violé le droit d'être entendu de l'intéressé au regard de la jurisprudence rappelée ci-dessus (consid. 3.2) ni, par conséquent, commis un déni de justice.</w:t>
      </w:r>
    </w:p>
    <w:p>
      <w:r>
        <w:rPr>
          <w:b/>
        </w:rPr>
        <w:t>E. 4</w:t>
      </w:r>
    </w:p>
    <w:p>
      <w:r>
        <w:t>Vu ce qui précède, le présent recours est manifestement mal fondé en tant que recevable. Il doit être rejeté dans la mesure où il est recevable, selon la procédure simplifiée de l' art. 36a OJ . Succombant, le recourant doit supporter les frais judiciaires ( art. 156 al. 1, 153 et 153a OJ ) et n'a pas droit à des dépens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