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2A.452/2006 vom 10. August 2006</w:t>
      </w:r>
    </w:p>
    <w:p>
      <w:r>
        <w:t>Bundesgericht, 2006-08-10, IT</w:t>
      </w:r>
    </w:p>
    <w:p>
      <w:r>
        <w:rPr>
          <w:b/>
        </w:rPr>
        <w:t xml:space="preserve">Quelle: </w:t>
      </w:r>
      <w:r>
        <w:t>https://mcp.opencaselaw.ch/entscheid/bger_2A.452_2006</w:t>
      </w:r>
    </w:p>
    <w:p>
      <w:r>
        <w:t>FR: TF 2A.452/2006 du 10 août 2006</w:t>
      </w:r>
    </w:p>
    <w:p>
      <w:r>
        <w:t>IT: TF 2A.452/2006 del 10 agosto 2006</w:t>
      </w:r>
    </w:p>
    <w:p>
      <w:pPr>
        <w:pStyle w:val="Heading2"/>
      </w:pPr>
      <w:r>
        <w:t>Regeste</w:t>
      </w:r>
    </w:p>
    <w:p>
      <w:r>
        <w:t>scarcerazione nell'ambito di misure coercitive (carcerazione in vista di rinvio coatto)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 tassa di giustizia.</w:t>
      </w:r>
    </w:p>
    <w:p>
      <w:r>
        <w:rPr>
          <w:b/>
        </w:rPr>
        <w:t>E. 4</w:t>
      </w:r>
    </w:p>
    <w:p>
      <w:r>
        <w:t>Comunicazione al patrocinatore del ricorrente, al Dipartimento delle istituzioni, al Tribunale amministrativo e al Giudice dell'istruzione e dell'arresto del Cantone Ticino (quest'ultimo per conoscenza) nonché all'Ufficio federale della migrazione. Losanna, 10 agosto 2006 In nome della II Corte di diritto pubblico del Tribunale federale svizzero 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