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2A.450/2002 vom 4. Juli 2003</w:t>
      </w:r>
    </w:p>
    <w:p>
      <w:r>
        <w:t>Bundesgericht, 2003-07-04, DE</w:t>
      </w:r>
    </w:p>
    <w:p>
      <w:r>
        <w:rPr>
          <w:b/>
        </w:rPr>
        <w:t xml:space="preserve">Quelle: </w:t>
      </w:r>
      <w:r>
        <w:t>https://mcp.opencaselaw.ch/entscheid/bger_2A.450_2002</w:t>
      </w:r>
    </w:p>
    <w:p>
      <w:r>
        <w:t>FR: TF 2A.450/2002 du 4 juillet 2003</w:t>
      </w:r>
    </w:p>
    <w:p>
      <w:r>
        <w:t>IT: TF 2A.450/2002 del 4 luglio 2003</w:t>
      </w:r>
    </w:p>
    <w:p>
      <w:pPr>
        <w:pStyle w:val="Heading2"/>
      </w:pPr>
      <w:r>
        <w:t>Erwägungen</w:t>
      </w:r>
    </w:p>
    <w:p>
      <w:r>
        <w:rPr>
          <w:b/>
        </w:rPr>
        <w:t>E. 1.1</w:t>
      </w:r>
    </w:p>
    <w:p>
      <w:r>
        <w:t>Das angefochtene Urteil des Kantonsgerichts vom 17. Juli 2002 stützt sich materiell ausdrücklich auf das am 1. Januar 2002 in Kraft getretene eidgenössische Heilmittelgesetz (vgl. vorne "B.-", am Ende). Das Heilmittelgesetz enthält für den Rechtsschutz vor dem Bundesgericht keine hier wesentlichen Sonderregelungen, sondern verweist auf das Bundesrechtspflegegesetz (vgl. Art. 84 Abs. 1 HMG ). Als Rechtsmittel gegen den angefochtenen Entscheid kommt danach namentlich die Verwaltungsgerichtsbeschwerde gemäss Art. 97 ff. OG in Frage. Beim angefochtenen Entscheid handelt es sich um eine auf öffentliches Recht des Bundes (Heilmittelgesetz) gestützte Anordnung im Einzelfall, mit der in die Rechtsstellung der Beschwerdeführerin eingegriffen wird (vgl. Art. 97 OG in Verbindung mit Art. 5 VwVG ). Das Urteil wurde von einer letzten kantonalen Instanz und damit von einer Behörde gemäss Art. 98 lit. g OG gefällt; eine Beschwerde an eine Vorinstanz im Sinne der Art. 98 Buchstaben b-f OG sieht das Bundesrecht nicht vor; und es besteht im vorliegenden Zusammenhang auch kein Ausschlussgrund gemäss Art. 99-102 OG . Die eidgenössische Verwaltungsgerichtsbeschwerde ist damit zulässig, und die Beschwerdeführerin ist hierzu nach Art. 103 lit. a OG legitimiert. Auf die frist- und formgerecht eingereichte Beschwerde ist einzutreten.</w:t>
      </w:r>
    </w:p>
    <w:p>
      <w:r>
        <w:rPr>
          <w:b/>
        </w:rPr>
        <w:t>E. 1.2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Als Bundesrechtsverletzung kann auch geltend gemacht werden, es sei zu Unrecht Bundesrecht anstelle von kantonalem Recht angewendet worden ( BGE 110 Ib 10 E. 1 S. 12; Fritz Gygi, Bundesverwaltungsrechtspflege, 2. Auflage, Bern 1983, S. 296).</w:t>
      </w:r>
    </w:p>
    <w:p>
      <w:r>
        <w:rPr>
          <w:b/>
        </w:rPr>
        <w:t>E. 1.3</w:t>
      </w:r>
    </w:p>
    <w:p>
      <w:r>
        <w:t>Die Beschwerdeführerin hat am 26. März 2003 - eineinhalb Monate nach Erhalt der behördlichen Vernehmlassungen - unaufgefordert eine Stellungnahme eingereicht und sich hiefür auf Art. 6 EMRK sowie die diesbezügliche Strassburger Rechtsprechung berufen. Ob diese nachträgliche Eingabe zuzulassen oder aber aus dem Recht zu weisen ist, kann offen bleiben, da die darin enthaltenen Vorbringen an der Beurteilung der Beschwerde nichts zu ändern vermögen.</w:t>
      </w:r>
    </w:p>
    <w:p>
      <w:r>
        <w:rPr>
          <w:b/>
        </w:rPr>
        <w:t>E. 2.1</w:t>
      </w:r>
    </w:p>
    <w:p>
      <w:r>
        <w:t>Die Beschwerdeführerin bestreitet zunächst, dass die eidgenössische Heilmittelgesetzgebung auf den vorliegenden Fall anwendbar sei. Sie macht geltend, das Kantonsgericht habe zwar richtigerweise und in Übereinstimmung mit der bundesgerichtlichen Rechtsprechung festgestellt, dass Rechtsänderungen nur dann Berücksichtigung finden sollen, wenn sich die Anwendung des neuen Rechts aus zwingenden Gründen, vor allem um der öffentlichen Ordnung willen, aufdränge. Genau diese Voraussetzung sei aber im vorliegenden Fall nicht erfüllt, zumal der Schutz der Versuchspersonen bei klinischen Versuchen schon vor dem Inkrafttreten der neuen eidgenössischen Heilmittelgesetzgebung umfassend gewährleistet gewesen sei.</w:t>
      </w:r>
    </w:p>
    <w:p>
      <w:r>
        <w:rPr>
          <w:b/>
        </w:rPr>
        <w:t>E. 2.2</w:t>
      </w:r>
    </w:p>
    <w:p>
      <w:r>
        <w:t>Im Laufe des Beschwerdeverfahrens eingetretene Rechtsänderungen sind an sich unbeachtlich, es sei denn, zwingende Gründe sprächen für die Berücksichtigung des neuen Rechts. Das trifft nach bundesgerichtlicher Praxis vor allem dann zu, wenn Vorschriften um der öffentlichen Ordnung willen oder zur Durchsetzung erheblicher öffentlicher Interessen erlassen worden und daher auch in hängigen Verfahren sofort anwendbar sind ( BGE 127 II 306 E. 7c S. 316, mit Hinweisen; Häfelin/Müller, Allgemeines Verwaltungsrecht, 4. Auflage, N. 325 ff.). Das Kantonsgericht hat zu Recht erwogen, die Bestimmungen des Heilmittelgesetzes dienten der öffentlichen Ordnung und insbesondere der Gesundheit von Mensch und Tier, weshalb vorliegend auf das neue Recht abzustellen sei (vgl. S. 5 des angefochtenen Entscheides). Es liegt auf der Hand, dass die Berechtigung der Beschwerdeführerin, als Ethikkommission tätig sein zu können, nicht nach der früheren, sondern nach der inzwischen in Kraft getretenen neuen Ordnung zu beurteilen ist. Die streitige Anerkennung als Ethikkommission bezieht sich auf künftige Vorgänge, die sich unter der Herrschaft des neuen Rechts abspielen werden, und muss folgerichtig ebenfalls nach Massgabe dieses neuen Rechts beurteilt werden. Das gesundheitspolizeiliche Interesse an der Durchsetzung der neuen Ordnung verdient gegenüber dem auf seiten der Beschwerdeführerin allfällig berührten Interesse des Vertrauensschutzes den Vorrang.</w:t>
      </w:r>
    </w:p>
    <w:p>
      <w:r>
        <w:rPr>
          <w:b/>
        </w:rPr>
        <w:t>E. 3.1</w:t>
      </w:r>
    </w:p>
    <w:p>
      <w:r>
        <w:t>Gemäss Art. 54 Abs. 1 lit. c HMG ist die Durchführung klinischer Versuche u.a. an die Voraussetzung geknüpft, dass die "zuständige Ethikkommission" den Versuch befürwortet. Art. 57 HMG enthält Bestimmungen über die Aufgabe und die Tätigkeit der Ethikkommissionen für klinische Versuche. Sie müssen unabhängig sein und über die nötigen Fachkenntnisse verfügen, um die ihr vorgelegten Versuche zu beurteilen ( Art. 57 Abs. 2 HMG ). Der Bundesrat hat über das Verfahren zur Ernennung dieser Kommissionen, über deren Zusammensetzung, Aufgaben, Arbeitsweise, Finanzierung sowie über das Aufsichtsverfahren nähere Vorschriften zu erlassen ( Art. 57 Abs. 3 HMG ). Die für Versuche nach Art. 54 Abs. 1 lit. c HMG zuständigen Ethikkommissionen werden von den Kantonen ernannt, die deren Tätigkeiten zu überwachen haben ( Art. 57 Abs. 4 HMG ).</w:t>
      </w:r>
    </w:p>
    <w:p>
      <w:r>
        <w:t>Die bundesrätliche Verordnung vom 17. Oktober 2001 über klinische Versuche mit Heilmitteln (VKlin, vgl. vorne "B.-", am Ende) regelt u.a. auch die Aufgaben und die Organisation der Ethikkommissionen. Gemäss Art. 29 der erwähnten Verordnung legen die Kantone die Zusammensetzung der Ethikkommissionen fest und wählen deren Mitglieder. Wer einen klinischen Versuch unternehmen will, muss die befürwortende Stellungnahme der für den Versuchsort zuständigen Ethikkommission einholen ( Art. 9 VKlin ). Die Ethikkommission prüft, ob die ethischen Grundsätze bei einem klinischen Versuch eingehalten werden, sowie die wissenschaftliche und die medizinische Qualität des klinischen Versuchs. Sie vergewissert sich, ob der Schutz der Versuchspersonen, insbesondere der schutzbedürftigen Personen, gewährleistet ist ( Art. 10 VKlin ).</w:t>
      </w:r>
    </w:p>
    <w:p>
      <w:r>
        <w:rPr>
          <w:b/>
        </w:rPr>
        <w:t>E. 3.2</w:t>
      </w:r>
    </w:p>
    <w:p>
      <w:r>
        <w:t>Vorab ergibt sich aus dieser Aufgabenbeschreibung, dass der Ethikkommission im betreffenden Bereich eine gesundheitspolizeiliche Aufgabe zukommt. Ihre Tätigkeit hat, da das Vorliegen einer zustimmenden Erklärung Voraussetzung für die Zulässigkeit klinischer Versuche ist, sogar hoheitlichen Charakter. Aus den genannten Bestimmungen des Bundesrechts ergibt sich aber auch klar, dass es den Kantonen anheimgestellt ist, die Gremien einzusetzen, welche als Ethikkommissionen tätig sein sollen. Seitens interessierter Privatpersonen oder privater Organisationen besteht keinerlei Anspruch, mit dieser öffentlichen Aufgabe betraut zu werden. Die Tätigkeit einer Ethikkommission fällt, wie das Kantonsgericht zutreffend angenommen hat, insbesondere nicht in den Schutzbereich der Wirtschaftsfreiheit ( Art. 27 BV ). Dieses Grundrecht umfasst insbesondere die freie Wahl des Berufes sowie den freien Zugang zu einer privatwirtschaftlichen Erwerbstätigkeit und deren freie Ausübung ( Art. 27 Abs. 2 BV ), bezieht sich hingegen nicht auf die Erfüllung öffentlicher Aufgaben. Wohl lässt das eidgenössische Heilmittelgesetz zu, dass die Kantone auch private Institutionen mit dieser Aufgabe betrauen können. Doch verschafft die Wirtschaftsfreiheit keinen Anspruch auf Übertragung dieser hoheitlichen Kontrollaufgabe; ebenso wenig kann sich ein Privater bei einem allfälligen Entzug dieser Funktion auf die erwähnte Garantie berufen. Der Hinweis der Beschwerdeführerin auf ihre bisherige Zulassung als Ethikkommission ist insoweit unbehelflich. Daran ändern auch die §§ 7 Abs. 2 ("Zuständigkeit") und 19 ("Anerkennung anderer Ethischer Kommissionen") der Interkantonalen Vereinbarung vom 25. Januar 2000 nichts, wonach die Ethikkommission beider Basel unter gewissen Voraussetzungen befugt ist, die Beurteilung von klinischen Versuchen im Einzelfall oder nach bestimmten Fachbereichen einer anderen, von den Kantonen anerkannten Ethischen Kommission zur Beurteilung oder Vorprüfung zu übertragen bzw. wonach diese anderen Ethischen Kommissionen - nach Anhörung der Ethikkommission beider Basel - durch die Gesundheitsdirektionen bezeichnet und in ein öffentliches Verzeichnis aufgenommen werden. Ein Anspruch auf Anerkennung bzw. Eintragung als "andere Ethische Kommission" im Sinne von § 19 der Vereinbarung besteht nicht.</w:t>
      </w:r>
    </w:p>
    <w:p>
      <w:r>
        <w:rPr>
          <w:b/>
        </w:rPr>
        <w:t>E. 4.1</w:t>
      </w:r>
    </w:p>
    <w:p>
      <w:r>
        <w:t>Die Beschwerdeführerin macht geltend, die Vereinbarung vom 25. Januar 2000 über die Einsetzung einer gemeinsamen Ethikkommission der Kantone Basel-Stadt und Basel-Landschaft genüge als gesetzliche Grundlage nicht, um ihr die Anerkennung als Ethikkommission zu versagen. Die ausserordentlich hohen Anforderungen für die Errichtung eines staatlichen Monopols seien nicht erfüllt.</w:t>
      </w:r>
    </w:p>
    <w:p>
      <w:r>
        <w:rPr>
          <w:b/>
        </w:rPr>
        <w:t>E. 4.2</w:t>
      </w:r>
    </w:p>
    <w:p>
      <w:r>
        <w:t>Gemäss Art. 36 Abs. 1 BV bedürfen Einschränkungen von Grundrechten einer gesetzlichen Grundlage; schwerwiegende Einschränkungen müssen im Gesetz selbst vorgesehen sein (vgl. statt vieler Häfelin/Müller, a.a.O., N. 393 ff.).</w:t>
      </w:r>
    </w:p>
    <w:p>
      <w:r>
        <w:t>Nach dem Gesagten brauchen die Kantone, da diesbezüglich kein Grundrechtseingriff in Frage steht, für die Bestellung der Ethikkommissionen keiner formellgesetzlichen Rechtsgrundlage. Es geht, entgegen der Meinung der Beschwerdeführerin, auch nicht um die Einführung eines Monopols (vgl. hierzu Häfelin/Müller, a.a.O., N. 2557 ff.), sondern um die Bestellung der Organe, die für die Durchführung der staatlichen Gesundheitsgesetzgebung bzw. für die Ausübung einer vom Staat im öffentlichen Interesse vorgeschriebenen Kontrolltätigkeit zuständig sind. Wenn der Staat für klinische Versuche eine derartige besondere Kontrolle vorschreibt, kann er auch bestimmen, welche - privaten oder staatlichen - Organe diese gesundheitspolizeiliche Aufgabe übernehmen sollen. Im Übrigen ergibt sich die vom Kanton in Anspruch genommene Kompetenz, die Tätigkeit als Ethikkommission auf die von ihm bezeichneten Gremien zu beschränken, bereits aus Art. 54 HMG . Inwiefern die vorliegend zwischen den beiden Kantonen Basel-Landschaft und Basel-Stadt abgeschlossene rechtsetzende Vereinbarung über die Einsetzung einer gemeinsamen Ethikkommission keine genügende kantonalrechtliche Grundlage darstellen soll, ist nicht ersichtlich.</w:t>
      </w:r>
    </w:p>
    <w:p>
      <w:r>
        <w:rPr>
          <w:b/>
        </w:rPr>
        <w:t>E. 5</w:t>
      </w:r>
    </w:p>
    <w:p>
      <w:r>
        <w:t>Die Beschwerdeführerin kann auch aus dem Inkrafttreten (1. Juni 2002) des Abkommens zwischen der Schweizerischen Eidgenossenschaft einerseits und der Europäischen Gemeinschaft und ihren Mitgliedstaaten andererseits über die Freizügigkeit (Freizügigkeitsabkommen, FZA; SR 0.142.112.681) nichts zu ihren Gunsten ableiten.</w:t>
      </w:r>
    </w:p>
    <w:p>
      <w:r>
        <w:t>Die der Ethikkommission gemäss Heilmittelgesetz zukommende Funktion ist keine unter den Schutz der Dienstleistungsfreiheit fallende Tätigkeit. Es geht nicht um Dienstleistungen, die im Prinzip von jedem über die nötigen Fähigkeiten verfügenden Anbieter erbracht werden können und damit grundsätzlich auch grenzüberschreitend zugelassen werden müssen (vgl. Art. 19 des Anhangs I zum FZA). Die Ethikkommission erfüllt im Auftrag des Staates eine spezielle hoheitliche Kontrollfunktion, die nicht beliebig vielen Interessenten offen stehen kann. Es ist dementsprechend, wie dargelegt, Sache des Kantons, die Zusammensetzung der Ethikkommissionen zu bestimmen und deren Mitglieder zu wählen. Bei der Kontrolltätigkeit der Ethikkommissionen handelt es sich damit nicht um eine in Konkurrenz zu anderen Anbietern erbrachte Leistung, sondern - dem Bereich der polizeilichen Eingriffsverwaltung zuzurechnend - um die Tätigkeit eines vom Staat mit besonderer Verantwortung und mit besonderen hoheitlichen Befugnissen ausgestatteten Organs. Wie das Kantonsgericht zutreffend ausgeführt hat, sind "Tätigkeiten, die auch nur gelegentlich die Ausübung hoheitlicher Befugnisse im Gebiet der betroffenen Vertragspartei umfassen", generell von der Dienstleistungsfreiheit ausgeschlossen (Art. 22 Abs. 1 des Anhangs I zum FZA). Aus der Dienstleistungsfreiheit lässt sich somit für Angehörige aus EU-Staaten, so wenig wie für schweizerische Staatsangehörige, kein Anspruch auf Übertragung der Aufgaben einer Ethikkommission ableiten. Ob die Beschwerdeführerin in der Schweiz als ausländisches Unternehmen auftritt oder aber aufgrund ihrer hiesigen Zweigniederlassung und der schweizerischen Nationalität eines Teils ihrer Mitglieder als inländisches Unternehmen einzustufen ist, spielt keine Rolle.</w:t>
      </w:r>
    </w:p>
    <w:p>
      <w:r>
        <w:rPr>
          <w:b/>
        </w:rPr>
        <w:t>E. 6</w:t>
      </w:r>
    </w:p>
    <w:p>
      <w:r>
        <w:t>Nach dem Gesagten erweist sich die Verwaltungsgerichtsbeschwerde als unbegründet.</w:t>
      </w:r>
    </w:p>
    <w:p>
      <w:r>
        <w:t>Bei diesem Verfahrensausgang wird die Beschwerdeführerin kostenpflichtig (Art. 156 in Verbindung mit Art. 153 und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