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2A.442/2003 vom 12. Mai 2004</w:t>
      </w:r>
    </w:p>
    <w:p>
      <w:r>
        <w:t>Bundesgericht, 2004-05-12, DE</w:t>
      </w:r>
    </w:p>
    <w:p>
      <w:r>
        <w:rPr>
          <w:b/>
        </w:rPr>
        <w:t xml:space="preserve">Quelle: </w:t>
      </w:r>
      <w:r>
        <w:t>https://mcp.opencaselaw.ch/entscheid/bger_2A.442_2003</w:t>
      </w:r>
    </w:p>
    <w:p>
      <w:r>
        <w:t>FR: TF 2A.442/2003 du 12 mai 2004</w:t>
      </w:r>
    </w:p>
    <w:p>
      <w:r>
        <w:t>IT: TF 2A.442/2003 del 12 maggio 2004</w:t>
      </w:r>
    </w:p>
    <w:p>
      <w:pPr>
        <w:pStyle w:val="Heading2"/>
      </w:pPr>
      <w:r>
        <w:t>Regeste</w:t>
      </w:r>
    </w:p>
    <w:p>
      <w:r>
        <w:t>Öffentliche Finanzen &amp; Abgaberecht</w:t>
      </w:r>
    </w:p>
    <w:p>
      <w:pPr>
        <w:pStyle w:val="Heading2"/>
      </w:pPr>
      <w:r>
        <w:t>Erwägungen</w:t>
      </w:r>
    </w:p>
    <w:p>
      <w:r>
        <w:rPr>
          <w:b/>
        </w:rPr>
        <w:t>E. 1</w:t>
      </w:r>
    </w:p>
    <w:p>
      <w:r>
        <w:t>Gemäss Art. 169 Abs. 3 des Bundesgesetzes vom 14. Dezember 1990 über die direkte Bundessteuer (DBG; SR 642.11) kann der Steuerpflichtige gegen eine Sicherstellungsverfügung im Zusammenhang mit der direkten Bundessteuer innert 30 Tagen nach Zustellung Verwaltungsgerichtsbeschwerde beim Bundesgericht erheben. Die vorliegende Beschwerde ist damit zulässig.</w:t>
      </w:r>
    </w:p>
    <w:p>
      <w:r>
        <w:rPr>
          <w:b/>
        </w:rPr>
        <w:t>E. 2</w:t>
      </w:r>
    </w:p>
    <w:p>
      <w:r>
        <w:t>Hat der Steuerpflichtige keinen Wohnsitz in der Schweiz oder erscheint die Bezahlung der von ihm geschuldeten Steuer als gefährdet, so kann die kantonale Verwaltung für die direkte Bundessteuer auch vor der rechtskräftigen Feststellung des Steuerbetrages jederzeit Sicherstellung verlangen. Die Sicherstellungsverfügung gibt den sicherzustellenden Betrag an und ist sofort vollstreckbar. Sie hat im Betreibungsverfahren die gleichen Wirkungen wie ein vollstreckbares Gerichtsurteil ( Art. 169 Abs. 1 DBG ).</w:t>
      </w:r>
    </w:p>
    <w:p>
      <w:r>
        <w:rPr>
          <w:b/>
        </w:rPr>
        <w:t>E. 3.1</w:t>
      </w:r>
    </w:p>
    <w:p>
      <w:r>
        <w:t>Die Beschwerdeführer rügen schwere Verfahrensfehler (Eröffnungs- und Formfehler) und behaupten, die Sicherstellungsverfügung vom 12. August 2003 sei nichtig. Dies schon deshalb, weil die fragliche Verfügung nicht (auch) an die Ehefrau adressiert worden sei, aber ebenso wegen einer fehlenden bzw. ungenügenden Begründung. Sodann machen die Beschwerdeführer geltend, die angefochtene Verfügung beruhe auf einem ebenfalls "klarerweise" nichtigen - neuen - Steuerdomizilentscheid (vom 16. September 2002), zu dessen Erlass Steuerkommissär D.________ nicht mehr zuständig gewesen sei, nachdem der zuständige Departementsvorsteher am 21. August 2002 dem Anliegen des Ehepaars A. und B.________ auf Zuweisung eines anderen Veranlagungsbeamten entsprochen habe.</w:t>
      </w:r>
    </w:p>
    <w:p>
      <w:r>
        <w:rPr>
          <w:b/>
        </w:rPr>
        <w:t>E. 3.2</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 BGE 122 I 97 E. 3a/aa S. 99). Als Nichtigkeitsgründe fallen hauptsächlich schwer wiegende Verfahrensfehler sowie die Unzuständigkeit der verfügenden Behörde in Betracht; dagegen haben inhaltliche Mängel nur in seltenen Ausnahmefällen die Nichtigkeit der Verfügung zur Folge (vgl. die Zusammenfassung der Rechtsprechung bei Ulrich Häfelin/Georg Müller, Allgemeines Verwaltungsrecht, 4. Auflage, Zürich/Basel/Genf 2002, N. 958 ff.).</w:t>
      </w:r>
    </w:p>
    <w:p>
      <w:r>
        <w:rPr>
          <w:b/>
        </w:rPr>
        <w:t>E. 3.3</w:t>
      </w:r>
    </w:p>
    <w:p>
      <w:r>
        <w:t>Gemäss Art. 113 Abs. 4 DBG werden sämtliche Mitteilungen der Steuerbehörden an verheiratete Steuerpflichtige, die in rechtlich und tatsächlich ungetrennter Ehe leben, an die Ehegatten gemeinsam gerichtet. In der angefochtenen Verfügung wird hingegen allein der Beschwerdeführer als Adressat genannt. Darin liegt unbestreitbar ein Mangel, der aber nicht zur Nichtigkeit dieser Verfügung führt, sondern im Beschwerdeverfahren vor Bundesgericht geheilt worden ist. Der Ehefrau ist durch diesen Fehler kein Nachteil entstanden, nachdem die Verfügung an den gemeinsamen Vertreter der Beschwerdeführer zugestellt wurde und beide rechtzeitig dagegen Beschwerde erhoben haben.</w:t>
      </w:r>
    </w:p>
    <w:p>
      <w:r>
        <w:rPr>
          <w:b/>
        </w:rPr>
        <w:t>E. 3.4</w:t>
      </w:r>
    </w:p>
    <w:p>
      <w:r>
        <w:t>Entsprechendes gilt für die Rüge der ungenügenden Begründung. Der in der Sicherstellungsverfügung vom 12. August 2003 unter der Rubrik "Grund" enthaltene Hinweis auf "unbezahlte direkte Bundessteuern" war keine taugliche Begründung. Die Steuerverwaltung hätte hier richtigerweise auf den fehlenden Wohnsitz der Steuerpflichtigen in der Schweiz hinweisen müssen, der gemäss Art. 169 Abs. 1 DBG schon für sich allein eine Sicherstellungsverfügung zu rechtfertigen vermag, ohne dass die Gefährdung der geschuldeten Steuer noch besonders dargetan werden muss. Dass der fehlende Wohnsitz in der Schweiz für die Sicherstellungspflicht massgebend war, ergab sich indirekt aber ohne weiteres aus der Adressangabe "A.________, im Ausland" sowie aus der auf dem Verfügungsformular wörtlich wiedergegebenen Regelung von Art. 169 DBG . Im Übrigen erging am 13. August 2003 eine weitere Sicherstellungsverfügung für die Staats- und Gemeindesteuern, welche sich auf die im Wesentlichen gleichlautende Regelung des kantonalen Steuergesetzes sowie auf das Bundesgesetz vom 14. Dezember 1990 über die Harmonisierung der direkten Steuern der Kantone und Gemeinden (StHG; SR 642.14) stützte und den Grund und die Tragweite der Sicherstellungspflicht näher erläuterte. Der in der angefochtenen Verfügung vom 12. August 2003 festgehaltene Betrag wird in der Vernehmlassung des Kantons unter Hinweis auf bestehende definitive und provisorische Rechnungen sodann näher spezifiziert. Soweit die Begründungspflicht nicht bereits mit der Sicherstellungsverfügung erfüllt wurde, ist dieser Mangel jedenfalls im Verfahren vor Bundesgericht, wo sich die Beschwerdeführer in einem zweiten Schriftenwechsel nochmals äussern konnten, geheilt worden.</w:t>
      </w:r>
    </w:p>
    <w:p>
      <w:r>
        <w:rPr>
          <w:b/>
        </w:rPr>
        <w:t>E. 3.5</w:t>
      </w:r>
    </w:p>
    <w:p>
      <w:r>
        <w:t>Der Steuerdomizilentscheid vom 16. September 2002 war - wie die Beschwerdeführer zutreffend vortragen - von Steuerkommissär D.________ unterzeichnet, obwohl der Chef des Departementes für Finanzen und Soziales, Regierungsrat F.________, dem Vertreter der Beschwerdeführer zuvor (mit Schreiben vom 21. August 2002) gestützt auf eine mündliche Besprechung zugesichert hatte, dass "die steuerlichen Belange der Familie A. und B.________, insbesondere der Herren G.________ und H.________ [Söhne der Beschwerdeführer].... künftig von dem für C.________ zuständigen Veranlagungsbeamten (z.Zt. E.________) wahrgenommen" würden, womit dem Anliegen "auf Zuweisung eines anderen Veranlagungsbeamten" entsprochen sei. Gemäss den Darlegungen in der Vernehmlassung der Steuerverwaltung wurde diese Erklärung von Steuerkommissär D.________, in Übereinstimmung mit der Auffassung des Vorsteher-Stellvertreters der kantonalen Steuerverwaltung (vgl. dessen Schreiben vom 11. November 2002), dahin interpretiert, dass die Zusage auf die Behandlung der in der Schweiz verbleibenden Steuerpflichtigen der Familie A. und B.________ ausgerichtet sei und einen Abschluss des komplexen Steuerdomizilverfahrens durch den bisher damit befassten Steuerkommissär nicht ausgeschlossen habe. Wie es sich damit verhält, bedarf hier keiner näheren Prüfung. Das erwähnte Schreiben des Departementsvorstehers hatte nicht den Charakter einer förmlichen Verfügung, durch welche die Ausstandspflicht des betreffenden Beamten verbindlich festgestellt worden wäre mit der Wirkung, dass in der gleichen Sache ergehende weitere Verfügungen dieses Beamten zum vornherein als nichtig anzusehen wären. Es handelte sich vielmehr um eine aus Gründen der Opportunität ergangene interne Anweisung, deren Missachtung höchstens die Anfechtbarkeit der streitigen Domizilverfügung sowie allenfalls disziplinarische Konsequenzen nach sich ziehen konnte, keineswegs aber - wie die Beschwerdeführer meinen - die Nichtigkeit derselben. Im Übrigen wurde die in der Folge ergangene Sicherstellungsverfügung vom 12. August 2003, die hier allein zu beurteilen ist, auch wenn sie sich sachlich zum Teil auf die erwähnte ergänzende Domizilverfügung stützt, von einem anderen Beamten erlassen.</w:t>
      </w:r>
    </w:p>
    <w:p>
      <w:r>
        <w:rPr>
          <w:b/>
        </w:rPr>
        <w:t>E. 4</w:t>
      </w:r>
    </w:p>
    <w:p>
      <w:r>
        <w:t>Die übrigen Einwände der Beschwerdeführer vermögen ebenso wenig durchzudringen: Dass für das Steuerjahr 1999 noch keine definitiven oder provisorischen Steuerrechnungen ergangen sind, schliesst die Ausdehnung der Sicherstellungspflicht auf diesen Zeitraum (bis Ende September 1999) nicht aus, wenn hiefür mutmasslich ebenfalls Steuern geschuldet sind, wovon die kantonale Behörde aufgrund des entsprechenden Domizilentscheides vom 16. September 2002 für die Frage der Sicherstellungspflicht vorläufig ausgehen durfte. Auch das noch hängige Verständigungsverfahren mit Australien (vgl. Art. 23 des Abkommens vom 28. Februar 1980 zwischen der Schweiz und Australien zur Vermeidung der Doppelbesteuerung auf dem Gebiet der Steuern vom Einkommen [DBA-AUS; SR 0.672.915.81]) steht der geltend gemachten Sicherstellungspflicht nicht entgegen, zumal - je nach Ausgang dieses Verfahrens - die angefochtene Sicherstellungsverfügung gegebenenfalls in Wiedererwägung gezogen werden kann.</w:t>
      </w:r>
    </w:p>
    <w:p>
      <w:r>
        <w:rPr>
          <w:b/>
        </w:rPr>
        <w:t>E. 5</w:t>
      </w:r>
    </w:p>
    <w:p>
      <w:r>
        <w:t>Damit ist die Verwaltungsgerichtsbeschwerde als unbegründet abzuweisen. Bei diesem Verfahrensausgang haben die Beschwerdeführer die Kosten des bundesgerichtlichen Verfahrens zu tragen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