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2A.442/2001 vom 19. Juni 2002</w:t>
      </w:r>
    </w:p>
    <w:p>
      <w:r>
        <w:t>Bundesgericht, 2002-06-19, FR</w:t>
      </w:r>
    </w:p>
    <w:p>
      <w:r>
        <w:rPr>
          <w:b/>
        </w:rPr>
        <w:t xml:space="preserve">Quelle: </w:t>
      </w:r>
      <w:r>
        <w:t>https://mcp.opencaselaw.ch/entscheid/bger_2A.442_2001</w:t>
      </w:r>
    </w:p>
    <w:p>
      <w:r>
        <w:t>FR: TF 2A.442/2001 du 19 juin 2002</w:t>
      </w:r>
    </w:p>
    <w:p>
      <w:r>
        <w:t>IT: TF 2A.442/2001 del 19 giugno 2002</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128 II 13 consid. 1a p. 16, 46 consid. 2a p. 47 et la jurisprudence citée).</w:t>
      </w:r>
    </w:p>
    <w:p>
      <w:r>
        <w:rPr>
          <w:b/>
        </w:rPr>
        <w:t>E. 1.1</w:t>
      </w:r>
    </w:p>
    <w:p>
      <w:r>
        <w:t>En vertu de l' art. 97 al. 1 OJ en relation avec les art. 5 PA , le recours de droit administratif est recevable contre les décisions finales et les décisions incidentes qui causent un préjudice irréparable, fondées sur le droit public fédéral. La décision attaquée est une décision de renvoi. En tant que telle, elle renvoie l'affaire au Service des contributions pour instruction et nouvelle décision dans le cadre de la procédure particulière de la taxation d'office. Dans la mesure où elle ne fixe pas le montant du revenu imposable, elle a le caractère d'une décision incidente. Elle n'entre dans aucune des catégories de l' art. 45 al. 2 PA . En principe, une telle décision ne cause pas de dommage irréparable, même si elle retarde la perception de l'impôt et augmente la charge de travail de l'autorité fiscale (Archives 62, p. 491 consid. 1b p. 493). En revanche, dès lors qu'elle invite de manière contraignante l'autorité fiscale à instruire une nouvelle fois l'affaire, elle tranche de manière définitive la question de savoir si les investigations effectuées par le Service des contributions épuise les obligations que lui imposent les art. 130 et 132 al. 3 LIFD et, a contrario, à quelles conditions le contribuable peut exiger une modification de la taxation d'office. Dans ce sens, la décision litigieuse clôt partiellement mais définitivement la procédure cantonale, en sorte qu'elle apparaît comme finale et peut faire l'objet d'un recours de droit administratif.</w:t>
      </w:r>
    </w:p>
    <w:p>
      <w:r>
        <w:rPr>
          <w:b/>
        </w:rPr>
        <w:t>E. 1.2</w:t>
      </w:r>
    </w:p>
    <w:p>
      <w:r>
        <w:t>Au surplus, 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 art. 146 LIFD , qui accorde à l'administration cantonale de l'impôt fédéral direct la qualité pour recourir.</w:t>
      </w:r>
    </w:p>
    <w:p>
      <w:r>
        <w:rPr>
          <w:b/>
        </w:rPr>
        <w:t>E. 1.3</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126 V 252 consid. 1a p. 254; 125 III 209 consid. 2 p. 211; 124 II 132 consid. 2a p. 137, 517 consid. 1 p. 519; 123 II 16 consid. 3a p. 22, 295 consid. 3 p. 298, 385 consid. 3 p. 388; 122 IV 8 consid. 1b p. 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121 II 473 consid. 1b p. 477 et les arrêts cités, voir aussi ATF 124 II 103 consid. 2b p. 109).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 décision entreprise, le droit fédéral ne prévoyant pas un tel examen en la matière (art. 104 lettre c ch. 3 OJ).</w:t>
      </w:r>
    </w:p>
    <w:p>
      <w:r>
        <w:rPr>
          <w:b/>
        </w:rPr>
        <w:t>E. 2.1</w:t>
      </w:r>
    </w:p>
    <w:p>
      <w:r>
        <w:t>En vertu de l' art. 130 LIFD ,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(RDAF 2000 2 41 consid. 2b p. 43). Le contribuable doit être taxé dans la mesure du possible d'après sa capacité économique réelle. L'autorité de taxation appelée à évaluer d'office le revenu imposable d'un contribuable doit tenir compte, selon sa propre appréciation, de toutes les données disponibles au moment de prendre sa décision. On ne peut exiger d'elle d'effectuer des enquêtes et des clarifications par trop détaillées, en particulier lorsqu'elle ne dispose pas d'éléments probants. Lorsque les seules indications vérifiables ont trait à l'évolution de la situation de fortune, l'autorité fiscale peut se baser sur la différence entre l'état de fortune au début et à la fin de la période fiscale et ajouter les dépenses privées et le train de vie estimés au montant ainsi obtenu pour déterminer le revenu imposable ( art. 130 al. 2 LIFD ; RDAF 2000 2 41 consid. 2d p. 44).</w:t>
      </w:r>
    </w:p>
    <w:p>
      <w:r>
        <w:rPr>
          <w:b/>
        </w:rPr>
        <w:t>E. 2.2</w:t>
      </w:r>
    </w:p>
    <w:p>
      <w:r>
        <w:t>A teneur de l' art. 132 al. 3 LIFD , le contribuable qui a été taxé d'office peut déposer une réclamation contre cette taxation uniquement pour le motif qu'elle est manifestement inexacte. La réclamation doit être motivée et indiquer, le cas échéant, les moyens de preuve. L'obligation de motiver la réclamation contre une taxation d'office est une exigence formelle dont la violation entraîne l'irrecevabilité de la réclamation ( ATF 123 II 552 consid. 4c p. 557). 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(FF 1983 III 1 ss, 221; RDAF 2000 2 41 consid. 2b p. 43; ATF 123 II 552 consid. 4c p. 557; Archives 67 p. 409 consid. 3a p. 413). Il ne peut se borner à contester certains postes seulement, car cela ne suffit pas à établir que la taxation dans son ensemble serait manifestement inexacte. Ainsi, contrairement à l'ancien droit qui excluait le dépôt d'une réclamation ou d'un recours contre la taxation d'office si les éléments imposables servant de base à la dernière taxation exécutoire n'étaient pas majorés de plus de 20 pour cent ( art. 92 al. 1 2 ème phr. de l'arrêté du 9 décembre 1940 sur l'impôt fédéral direct [AIFD]), mais ne limitait pas le réexamen de la taxation d'office par l'autorité de réclamation ou l'autorité judiciaire cantonale, une fois atteint le seuil des 20 pour cent, l' art. 132 al. 3 LIFD subordonne la recevabilité de la réclamation puis l'examen de la taxation d'office notamment à la démonstration - qui incombe au contribuable - de son caractère manifestement inexact. Lorsque l'autorité de taxation n'est pas entrée en matière sur la réclamation, la Commission de recours - qui a les mêmes compétences que l'autorité de taxation ( art. 142 al. 4 LIFD )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 Commission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 art. 143 LIFD ).</w:t>
      </w:r>
    </w:p>
    <w:p>
      <w:r>
        <w:rPr>
          <w:b/>
        </w:rPr>
        <w:t>E. 2.3</w:t>
      </w:r>
    </w:p>
    <w:p>
      <w:r>
        <w:t>La Commission des recours a considéré que les intéressés avaient fourni certaines indications permettant d'établir que l'épouse bénéficiait d'une rente AVS, qu'ils avaient contracté un emprunt auprès de la banque A.________ et que l'époux avait bénéficié de remboursements de la société anonyme durant l'année 1999 pour plus de 37'000 fr. Elle a en outre constaté, selon le dossier fiscal, que l'autorité de taxation n'aurait effectué aucune recherche ou vérification concernant ces éléments, alors qu'il lui aurait été facile d'obtenir les informations utiles au sujet des rentes AVS versées à l'épouse et la manière dont le remboursement de la société anonyme avaient été traités par le dossier fiscal de la société. Pour ces motifs, la Commission des recours a annulé la décision sur réclamation du Service des contributions et lui a renvoyé le dossier pour instruction et nouvelle décision. Le recourant conteste, à juste titre, les constatations lacunaires de la Commission des recours. En effet, les document relatifs aux remboursements provenant de la société anonyme, dont les intéressés font état, ne concernent pas l'année de calcul 1998, mais bien 1999, qui n'est pas en cause dans la présente procédure. Un courrier du 29 juillet 1999 de la Caisse de compensation du canton du Jura, également versé au dossier fiscal, confirme qu'aucune rente AVS n'a été versée aux intéressés avant juillet 1999. Enfin, le prêt de la banque A.________ figure bien dans l'état des dettes des intéressés au 1er janvier 1999, de sorte qu'il a été pris en compte dans le calcul d'évolution de fortune. La Commission des recours a donc constaté de manière inexacte et incomplète les faits de la cause. Dans ces conditions, il n'est pas nécessaire d'examiner dans quelle mesure ces éléments auraient suffi à établir le caractère manifestement inexact de la taxation, ce qu'aurait dû faire la Commission des recours avant d'annuler la décision sur réclamation et de renvoyer la cause à l'autorité de taxation. Les éléments figurant au dossier n'exigeaient en effet pas de la part du Service des contributions des mesures d'instruction supplémentaires dès lors qu'il a tenu compte de tous les éléments fournis par les intéressés tant en procédure de taxation qu'en procédure de réclamation et que ceux-ci ne démontraient pas le caractère manifestement inexact de la taxation d'office. Au surplus, les recourants n'ont pas déposé d'éléments nouveaux devant la Commission des recours, qui auraient été de nature à établir le caractère manifestement inexact de la taxation d'office. Par conséquent, en annulant la décision sur réclamation du 7 juillet 1999 du Service des contributions et en renvoyant l'affaire pour complément d'instruction, la Commission des recours a violé les art. 130 al. 2 LIFD et 132 al. 3 LIFD.</w:t>
      </w:r>
    </w:p>
    <w:p>
      <w:r>
        <w:rPr>
          <w:b/>
        </w:rPr>
        <w:t>E. 3</w:t>
      </w:r>
    </w:p>
    <w:p>
      <w:r>
        <w:t>Les considérants qui précèdent conduisent à l'admission du recours. Par conséquent, en tant qu'elles concernent l'impôt fédéral direct, la décision du 17 septembre 2001 de la Commission des recours est annulée et la décision sur réclamation du 7 juillet 2000 du Service des contributions confirmée. Vu l'issue du recours, même s'ils ne se sont pas déterminés, X.________ et Y.________ sont à l'origine de la décision entreprise et doivent être considérés comme la partie qui succombe dans la présente procédure (cf. arrêt du Tribunal fédéral 2A.393/1999 du 28 janvier 2000 consid. 5; ATF 123 V 156 ; RF 52/1997 p. 304 consid. 3b p. 305). Les frais judiciaires sont dès lors à leur charge, solidairement entre eux ( art. 156 al. 1 OJ ). Le dispositif notifié aux parties le 19 juin 2002 du présent arrêt condamne à tort les "recourants" au paiement des frais judiciaires. Il résulte en effet de cet arrêt que seul le Service des contributions a recouru devant le Tribunal fédéral et qu'il a, au surplus, obtenu gain de cause. Il ne saurait donc être condamné au paiement des frais judiciaires ( art. 159 OJ ). Ce dispositif contradictoire, résultant d'une inadvertance manifeste, doit par conséquent être corrigé conformément à l' art. 145 OJ , en ce sens que l'émolument judiciaire est mis à la charge des "intimés",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