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2A.431/2005 vom 14. November 2005</w:t>
      </w:r>
    </w:p>
    <w:p>
      <w:r>
        <w:t>Bundesgericht, 2005-11-14, DE</w:t>
      </w:r>
    </w:p>
    <w:p>
      <w:r>
        <w:rPr>
          <w:b/>
        </w:rPr>
        <w:t xml:space="preserve">Quelle: </w:t>
      </w:r>
      <w:r>
        <w:t>https://mcp.opencaselaw.ch/entscheid/bger_2A.431_2005</w:t>
      </w:r>
    </w:p>
    <w:p>
      <w:r>
        <w:t>FR: TF 2A.431/2005 du 14 novembre 2005</w:t>
      </w:r>
    </w:p>
    <w:p>
      <w:r>
        <w:t>IT: TF 2A.431/2005 del 14 novembre 2005</w:t>
      </w:r>
    </w:p>
    <w:p>
      <w:pPr>
        <w:pStyle w:val="Heading2"/>
      </w:pPr>
      <w:r>
        <w:t>Erwägungen</w:t>
      </w:r>
    </w:p>
    <w:p>
      <w:r>
        <w:rPr>
          <w:b/>
        </w:rPr>
        <w:t>E. 1.1.1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1.1.2</w:t>
      </w:r>
    </w:p>
    <w:p>
      <w:r>
        <w:t>Die Nichtigerklärung der Einbürgerung des Beschwerdeführers A.X.________ ist in Rechtskraft erwachsen. Mangels gegenteiliger Anordnung (vgl. Art. 41 Abs. 3 BüG ) haben damit auch seine Kinder ihr Schweizer Bürgerrecht verloren. Entgegen der vom Beschwerdeführer zitierten Meinungsäusserung aus einem privaten Gutachten lebt in solchen Fällen nicht die frühere fremdenpolizeiliche Bewilligung des Betroffenen automatisch wieder auf, sondern es ist aufgrund der aktuellen Sachlage neu über das allfällige Anwesenheitsrecht bzw. die Wegweisung zu entscheiden. Insbesondere führt die Nichtigerklärung der Einbürgerung nicht dazu, dass der Betroffene als Ausländer mit einer Niederlassungsbewilligung anzusehen ist (vgl. Urteil 2A.221/2005 vom 6. September 2005, E. 1). Ebenso wenig kann vom Weiterbestand einer seinerzeit erteilten Aufenthaltsbewilligung ausgegangen werden, schon deshalb nicht, weil diese aufgrund ihrer Befristung (vgl. Art. 5 Abs. 1 ANAG ) als abgelaufen zu betrachten wäre. Falls sich zeigt, dass der Beschwerdeführer A.X.________ heute kein Aufenthaltsrecht mehr geltend machen kann, entfällt damit auch die Möglichkeit abgeleiteter Anwesenheitsrechte nach Art. 17 ANAG oder Art. 8 EMRK .</w:t>
      </w:r>
    </w:p>
    <w:p>
      <w:r>
        <w:rPr>
          <w:b/>
        </w:rPr>
        <w:t>E. 1.1.3</w:t>
      </w:r>
    </w:p>
    <w:p>
      <w:r>
        <w:t>Allein aus dem Umstand, dass sich der Beschwerdeführer A.X.________ schon länger als zehn Jahre in der Schweiz aufhält, ergibt sich mangels einer dahinlautenden staatsvertraglichen Sonderregelung noch kein Anspruch auf eine Niederlassungsbewilligung. Auch die Herleitung eines Anwesenheitsrechts aus Art. 8 EMRK (Recht auf Achtung des Privatlebens) fällt nach der einschlägigen Rechtsprechung (vgl. dazu BGE 130 II 281 E. 3.2.1 S. 286 mit Hinweisen) vorliegend ausser Betracht. Es kann sich einzig fragen, ob der Beschwerdeführer A.X.________ aufgrund seiner (früheren) Ehe mit einer Schweizer Bürgerin die (mit jenen der erleichterten Einbürgerung gemäss Art. 26/27 BüG nicht identischen) Voraussetzungen von Art. 7 ANAG für den Erwerb einer Niederlassungsbewilligung erfüllt hatte und damit heute unter diesem Titel ein Anwesenheitsrecht für sich selber und - davon abgeleitet - für seine Familienmitglieder geltend machen kann (vgl. BGE 128 II 145 E. 1.1.4 S. 149).</w:t>
      </w:r>
    </w:p>
    <w:p>
      <w:r>
        <w:rPr>
          <w:b/>
        </w:rPr>
        <w:t>E. 1.1.4</w:t>
      </w:r>
    </w:p>
    <w:p>
      <w:r>
        <w:t>Da die Ehe des Beschwerdeführers A.X.________ mit der Schweizer Bürgerin Y.________ mehr als fünf Jahre gedauert hat und er während dieser Zeit ordnungsgemäss und ununterbrochen in der Schweiz gelebt hat, sind die Voraussetzungen für den Erwerb einer Niederlassungsbewilligung ( Art. 7 Abs. 1 Satz 2 ANAG , vgl. E. 2.1) formell erfüllt, weshalb auf die Verwaltungsgerichtsbeschwerde insoweit einzutreten ist. Ob ein vorbehaltener Hinderungsgrund zum Zuge kommt, ist eine Frage der materiellen Beurteilung ( BGE 128 II 145 E. 1.1.5 S. 150).</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Der ausländische Ehegatte eines Schweizer Bürgers hat Anspruch auf Erteilung und Verlängerung der Aufenthaltsbewilligung. Nach einem ordnungsgemässen und ununterbrochenen Aufenthalt von fünf Jahren hat er Anspruch auf die Niederlassungsbewilligung ( Art. 7 Abs. 1 ANAG ). Kein Anspruch besteht, wenn die Ehe eingegangen worden ist, um die Vorschriften über Aufenthalt und Niederlassung von Ausländern und namentlich jene über die Begrenzung der Zahl der Ausländer zu umgehen ( Art. 7 Abs. 2 ANAG ). Erfasst wird davon die sog. Scheinehe bzw. Ausländerrechtsehe, bei der die Ehegatten von vornherein keine echte eheliche Gemeinschaft beabsichtigen ( BGE 127 II 49 E. 5a S. 56 mit Hinweisen). Vorbehalten bleibt ferner die rechtsmissbräuchliche Berufung auf eine nachträglich definitiv gescheiterte Ehe ( BGE 128 II 145 E. 2.2 S. 151 mit Hinweisen).</w:t>
      </w:r>
    </w:p>
    <w:p>
      <w:r>
        <w:rPr>
          <w:b/>
        </w:rPr>
        <w:t>E. 2.2</w:t>
      </w:r>
    </w:p>
    <w:p>
      <w:r>
        <w:t>Gemäss den Feststellungen des Obergerichts handelte es sich bei der Ehe von A.X.________ mit der Schweizerin Y.________ um eine eigentliche Scheinehe im Sinne von Art. 7 Abs. 2 ANAG . Als Indizien hiefür nennt das Gericht den engen zeitlichen Zusammenhang zwischen der Abweisung des Asylgesuches und der Eheschliessung, den grossen Altersunterschied zwischen den Ehegatten sowie die von A.X.________ unterhaltene aussereheliche Beziehung mit seiner späteren zweiten Ehefrau. Diese objektiven Umstände sprechen in der Tat klar dafür, dass der Beschwerdeführer A.X.________ mit der nach dem negativen Ausgang des Asylverfahrens erfolgten Heirat keine echte, auf Dauer ausgerichtete Ehegemeinschaft eingehen, sondern sich - und seiner später gegründeten neuen Familie - damit nur ein dauerhaftes Anwesenheitsrecht in der Schweiz verschaffen wollte.</w:t>
      </w:r>
    </w:p>
    <w:p>
      <w:r>
        <w:t>Doch selbst wenn anfänglich die Führung einer wirklichen Ehe beabsichtigt gewesen sein sollte, wäre, wie die Vorinstanz zutreffend annimmt, kein Anspruch auf eine Niederlassungsbewilligung entstanden. Denn im massgebenden Zeitpunkt, d.h. bei Ablauf der Fünfjahresfrist von Art. 7 Abs. 1 ANAG (am 30. Juli 1998), unterhielt der Beschwerdeführer A.X.________ - wie das Geburtsdatum des ersten Kindes (2. November 1998) zeigt - offensichtlich bereits eine aussereheliche Beziehung mit seiner künftigen Ehefrau, womit die Ehe mit Y.________ schon im damaligen Zeitpunkt als endgültig gescheitert zu gelten hatte mit der Folge, dass eine Anrufung dieser Ehe zwecks Erhaltes einer Niederlassungsbewilligung rechtsmissbräuchlich gewesen wäre (vgl. BGE 128 II 145 E. 2.2 S. 151).</w:t>
      </w:r>
    </w:p>
    <w:p>
      <w:r>
        <w:rPr>
          <w:b/>
        </w:rPr>
        <w:t>E. 2.3</w:t>
      </w:r>
    </w:p>
    <w:p>
      <w:r>
        <w:t>Steht dem Beschwerdeführer A.X.________ nach dem Gesagten heute kein Anspruch auf eine Anwesenheitsbewilligung in der Schweiz zu, entfällt auch jede Grundlage für entsprechende Ansprüche seiner Familienmitglieder. Da keiner dieser Angehörigen ein festes Anwesenheitsrecht in der Schweiz besitzt und die ganze Familie gemeinsam das Land verlassen muss, liegt kein Eingriff in den Schutzbereich der Garantie auf Achtung des Familienlebens ( Art. 8 EMRK ) vor ( BGE 126 II 377 E. 2b/cc S. 383).</w:t>
      </w:r>
    </w:p>
    <w:p>
      <w:r>
        <w:rPr>
          <w:b/>
        </w:rPr>
        <w:t>E. 3</w:t>
      </w:r>
    </w:p>
    <w:p>
      <w:r>
        <w:t>Nach dem Gesagten ist die Verwaltungsgerichtsbeschwerde als unbegründet abzuweisen.</w:t>
      </w:r>
    </w:p>
    <w:p>
      <w:r>
        <w:t>Bei diesem Verfahrensausgang werden die unterliegenden Beschwerdeführer kostenpflichtig (Art. 156 Abs. 1 in Verbindung mit Art. 153 und 153a OG ). Dem gestellten Gesuch um unentgeltliche Rechtspflege und Verbeiständung ist nicht zu entsprechen, da die vorliegende Beschwerde aufgrund der gegebenen Rechtslage und der diesbezüglichen Ausführungen im angefochtenen Urteil keine ernsthaften Erfolgsaussichten haben konnte ( Art. 152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