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2A.427/2000 vom 27. September 2000</w:t>
      </w:r>
    </w:p>
    <w:p>
      <w:r>
        <w:t>Bundesgericht, 2000-09-27, FR</w:t>
      </w:r>
    </w:p>
    <w:p>
      <w:r>
        <w:rPr>
          <w:b/>
        </w:rPr>
        <w:t xml:space="preserve">Quelle: </w:t>
      </w:r>
      <w:r>
        <w:t>https://mcp.opencaselaw.ch/entscheid/bger_2A.427_2000</w:t>
      </w:r>
    </w:p>
    <w:p>
      <w:r>
        <w:t>FR: TF 2A.427/2000 du 27 septembre 2000</w:t>
      </w:r>
    </w:p>
    <w:p>
      <w:r>
        <w:t>IT: TF 2A.427/2000 del 27 settembre 2000</w:t>
      </w:r>
    </w:p>
    <w:p>
      <w:pPr>
        <w:pStyle w:val="Heading2"/>
      </w:pPr>
      <w:r>
        <w:t>Regeste</w:t>
      </w:r>
    </w:p>
    <w:p>
      <w:r>
        <w:t>Droit de cité et droit des étrangers</w:t>
      </w:r>
    </w:p>
    <w:p>
      <w:pPr>
        <w:pStyle w:val="Heading2"/>
      </w:pPr>
      <w:r>
        <w:t>Erwägungen</w:t>
      </w:r>
    </w:p>
    <w:p>
      <w:r>
        <w:rPr>
          <w:b/>
        </w:rPr>
        <w:t>E. 1</w:t>
      </w:r>
    </w:p>
    <w:p>
      <w:r>
        <w:t>a) Selon l'art. 13b al. 1 de la loi fédérale du 26 mars 1931 sur le séjour et l'établissement des étrangers (LSEE; RS 142. 20), si une décision de renvoi ou d'expulsion de première instance a été notifiée à un étranger, l'autorité cantonale compétente peut, aux fins d'en assurer l'exécution, mettre en détention cette personne, notamment lorsque "des indices concrets font craindre qu'elle entend se soustraire au refoulement, notamment si son comportement jusqu'alors mène à conclure qu'il se refuse à obtempérer aux instructions des autorités" (lettre c; sur les indices de danger de fuite, voir ATF 122 II 49 consid. 2a; 125 II 369 consid. 3b/aa; Alain Wurzburger, La jurisprudence récente du Tribunal fédéral en matière de police des étrangers, in: RDAF 53/1997 I, p. 267 ss, spéc. p. 332/333). La détention est subordonnée à la condition que les autorités entreprennent sans tarder les démarches nécessaires à l'exécution du renvoi ou de l'expulsion ( art. 13b al. 3 LSEE ). Enfin, selon l' art. 13c al. 5 lettre a LSEE , elle doit être levée lorsque son motif n'existe plus ou que l'exécution du renvoi ou de l'expulsion s'avère impossible pour des raisons juridiques ou matérielles (voir, sur l'ensemble de ces points, ATF 125 II 369 consid. 3a p. 374 et les arrêts cités). b) En l'occurrence, il existe un faisceau d'indices sérieux permettant d'affirmer que le recourant, qui est sous le coup d'une décision de renvoi de Suisse exécutoire, a l'intention de se soustraire au refoulement. Il ressort du dossier que le recourant, dépourvu de papiers d'identité, a disparu à maintes reprises. Et, contrairement à l'engagement pris, il n'a entrepris aucune démarche en vue d'obtenir les documents de voyage nécessaires à l'exécution de son renvoi de Suisse, ni ne s'est présenté à la Police de l'aéroport de Sion le 14 juillet 2000. Il a au contraire disparu dans la clandestinité le 18 juillet 2000 avant d'être appréhendé par la Police cantonale bernoise le 8 septembre 2000. A cela s'ajoute qu'il a déclaré devant le Tribunal cantonal qu'il n'était pas d'accord de rentrer dans son pays d'origine. c) Il apparaît par ailleurs que la mise en détention du recourant respecte à la fois le principe de la proportionnalité et celui de la diligence consacré par l' art. 13b al. 3 LSEE . Enfin, l'exécution du refoulement de l'intéressé ne s'avère pas d'emblée impossible pour des raisons juridiques ou matérielles ( art. 13c al. 5 lettre a LSEE ).</w:t>
      </w:r>
    </w:p>
    <w:p>
      <w:r>
        <w:rPr>
          <w:b/>
        </w:rPr>
        <w:t>E. 2</w:t>
      </w:r>
    </w:p>
    <w:p>
      <w:r>
        <w:t>Manifestement mal fondé, le recours doit être rejeté selon la procédure simplifiée de l' art. 36a OJ . Succombant, le recourant doit normalement supporter un émolument judiciaire ( art. 156 al. 1 OJ ). Compte tenu des circonstances, il se justifie néanmoins de statuer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