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2A.421/2006 vom 13. Februar 2007</w:t>
      </w:r>
    </w:p>
    <w:p>
      <w:r>
        <w:t>Bundesgericht, 2007-02-13, FR</w:t>
      </w:r>
    </w:p>
    <w:p>
      <w:r>
        <w:rPr>
          <w:b/>
        </w:rPr>
        <w:t xml:space="preserve">Quelle: </w:t>
      </w:r>
      <w:r>
        <w:t>https://mcp.opencaselaw.ch/entscheid/bger_2A.421_2006</w:t>
      </w:r>
    </w:p>
    <w:p>
      <w:r>
        <w:t>FR: TF 2A.421/2006 du 13 février 2007</w:t>
      </w:r>
    </w:p>
    <w:p>
      <w:r>
        <w:t>IT: TF 2A.421/2006 del 13 febbraio 2007</w:t>
      </w:r>
    </w:p>
    <w:p>
      <w:pPr>
        <w:pStyle w:val="Heading2"/>
      </w:pPr>
      <w:r>
        <w:t>Erwägungen</w:t>
      </w:r>
    </w:p>
    <w:p>
      <w:r>
        <w:rPr>
          <w:b/>
        </w:rPr>
        <w:t>E. 1.1</w:t>
      </w:r>
    </w:p>
    <w:p>
      <w:r>
        <w:t>Selon l'art. 100 al. 1 let. b ch. 3 OJ, le recours de droit administratif n'est pas recevable en matière de police des étrangers contre l'octroi ou le refus d'autorisations auxquelles le droit fédéral ne confère pas un droit. Le recours de droit administratif n'est recevable que si l'étranger peut invoquer une disposition particulière du droit fédéral ou d'un traité lui accordant le droit à la délivrance d'une telle autorisation ( ATF 131 II 339 consid. 1 p. 342/343).</w:t>
      </w:r>
    </w:p>
    <w:p>
      <w:r>
        <w:t>La recourante ne peut déduire aucun droit à une autorisation de séjour de la LSEE, en particulier de son art. 17 al. 2, dans la mesure où elle ne fait plus ménage commun avec son mari et que les relations particulièrement conflictuelles entre les conjoints permettent d'exclure toute reprise de la vie commune.</w:t>
      </w:r>
    </w:p>
    <w:p>
      <w:r>
        <w:rPr>
          <w:b/>
        </w:rPr>
        <w:t>E. 1.2</w:t>
      </w:r>
    </w:p>
    <w:p>
      <w:r>
        <w:t>La recourante se réclame de l' art. 8 CEDH à l'égard de son fils, titulaire d'une autorisation d'établissement, pour demeurer en Suisse.</w:t>
      </w:r>
    </w:p>
    <w:p>
      <w:r>
        <w:t>Un étranger peut, selon les circonstances, se prévaloir de cette disposition pour s'opposer à l'éventuelle séparation de sa famille. Encore faut-il, pour pouvoir l'invoquer, que la relation entre l'étranger et une personne de sa famille ayant le droit de résider en Suisse (c'est-à-dire au moins un droit certain à une autorisation: ATF 130 II 281 consid. 3.1 p. 285) soit étroite et effective ( ATF 129 II 193 consid. 5.3.1 p. 211). L' art. 8 CEDH s'applique notamment lorsqu'un étranger peut faire valoir une relation intacte avec son enfant bénéficiant du droit de résider en Suisse, même si celui-ci n'est pas placé sous son autorité parentale ou sous sa garde du point de vue du droit de la famille; un contact régulier entre le parent et l'enfant, par exemple par l'exercice du droit de visite, peut cas échéant suffire ( ATF 120 Ib 1 consid. 1d p. 3).</w:t>
      </w:r>
    </w:p>
    <w:p>
      <w:r>
        <w:rPr>
          <w:b/>
        </w:rPr>
        <w:t>E. 1.3</w:t>
      </w:r>
    </w:p>
    <w:p>
      <w:r>
        <w:t>En l'espèce, nonobstant le retrait de son droit de garde, la recourante exerce sur son fils un droit de visite régulier ainsi que l'autorité parentale conjointement avec le père de celui-ci. Dans la mesure où l'arrêt attaqué a des incidences sur les relations personnelles de la mère avec son fils, elle peut se prévaloir de l' art. 8 CEDH . Le recours est donc recevable sous cet angle.</w:t>
      </w:r>
    </w:p>
    <w:p>
      <w:r>
        <w:rPr>
          <w:b/>
        </w:rPr>
        <w:t>E. 2.1</w:t>
      </w:r>
    </w:p>
    <w:p>
      <w:r>
        <w:t>La protection découlant de l' art. 8 CEDH n'est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et 3 p. 639 ss et les arrêts cités).</w:t>
      </w:r>
    </w:p>
    <w:p>
      <w:r>
        <w:t>En ce qui concerne l'intérêt privé à l'octroi d'une autorisation de séjour, il faut constater qu'un droit de visite peut en principe être exercé même si le parent intéressé vit à l'étranger, au besoin en aménageant les modalités de ce droit quant à la fréquence et à sa durée. 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 Il faut qu'il existe des liens vraiment forts dans les domaines affectif et économique entre le parent au bénéfice du droit de visite et l'enfant pour que l'intérêt public à une politique restrictive en matière de séjour des étrangers et d'immigration passe au second plan ( ATF 120 Ib 1 consid. 3c p. 5). Il est également essentiel que l'étranger n'ait pas adopté une attitude répréhensible, notamment en commettant des infractions aux dispositions pénales ou de police des étrangers (cf. ATF 120 Ib 1 consid. 3 p. 4 ss, 22 consid. 4 p. 24 ss).</w:t>
      </w:r>
    </w:p>
    <w:p>
      <w:r>
        <w:rPr>
          <w:b/>
        </w:rPr>
        <w:t>E. 2.2</w:t>
      </w:r>
    </w:p>
    <w:p>
      <w:r>
        <w:t>Il sied tout d'abord de relever la particularité du cas présent. En effet, la recourante a vécu sous le même toit que son fils pendant plus de trois ans et demi, avant de se voir retirer la garde de son enfant. Sa relation avec son fils a été perturbée, suite à un conflit conjugal aigu, ponctué de plaintes pénales réciproques et de scènes de violence, auxquelles l'enfant a parfois assisté. Toutefois, il découle de trois rapports, établis les 16 novembre 2005, 11 janvier 2006 et 17 juillet 2006 par le Service de l'enfance et de la jeunesse du canton de Fribourg, que les relations entre la mère et l'enfant avaient évolué dans le sens d'une sensible amélioration. Ainsi, la recourante prenait en charge son fils une fin de semaine sur deux, du vendredi au lundi, une extension du droit de visite au mercredi après-midi ayant été envisagée.</w:t>
      </w:r>
    </w:p>
    <w:p>
      <w:r>
        <w:t>Le sort de l'enfant n'est réglé que provisoirement par une ordonnance d'urgence. La recourante et son mari sont opposés dans une procédure de divorce à l'issue de laquelle le juge civil statuera sur l'attribution de l'autorité parentale et du droit de garde ainsi que sur l'exercice du droit de visite. La situation était donc très incertaine au moment où les autorités cantonales ont statué sur le renouvellement de l'autorisation de séjour de la recourante; comme relevé, la situation était évolutive, les relations de celle-ci et de son enfant semblant s'intensifier. Dans ces conditions, une séparation de la mère et de l'enfant, qui ont vécu ensemble plus de trois ans et demi, serait très lourde de conséquences, singulièrement en raison de l'âge de l'enfant. Par ailleurs, le droit de visite ne pourrait plus être exercé de manière suivie, compte tenu de la distance séparant la Syrie et la Suisse. En pareil cas, le refus définitif de renouveler l'autorisation de séjour en l'absence de plus amples renseignements sur l'état des relations entre l'enfant et sa mère ainsi que sur la situation financière (dette d'assistance, emploi) de celle-ci, n'est pas conforme aux exigences de l' art. 8 CEDH .</w:t>
      </w:r>
    </w:p>
    <w:p>
      <w:r>
        <w:rPr>
          <w:b/>
        </w:rPr>
        <w:t>E. 3</w:t>
      </w:r>
    </w:p>
    <w:p>
      <w:r>
        <w:t>Il ne peut être fait droit à la conclusion de la recourante tendant à l'octroi d'un permis de séjour. Le recours doit donc être partiellement admis, l'arrêt entrepris annulé et la cause renvoyée à l'autorité qui a statué en première instance cantonale pour nouvelle décision dans le sens des considérants ( art. 114 al. 2 OJ ).</w:t>
      </w:r>
    </w:p>
    <w:p>
      <w:r>
        <w:t>Aucun intérêt pécuniaire n'étant en jeu, le canton de Fribourg n'a pas à supporter les frais judiciaires ( art. 156 al. 2 OJ ). En revanche, il devra verser à la recourante, représentée par un mandataire professionnel, une indemnité à titre de dépens pour la procédure devant le Tribunal fédéral ( art. 159 al. 1 OJ ). Compte tenu de l'allocation de dépens,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