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2A.415/1999 vom 10. Januar 2000</w:t>
      </w:r>
    </w:p>
    <w:p>
      <w:r>
        <w:t>Bundesgericht, 2000-01-10, FR</w:t>
      </w:r>
    </w:p>
    <w:p>
      <w:r>
        <w:rPr>
          <w:b/>
        </w:rPr>
        <w:t xml:space="preserve">Quelle: </w:t>
      </w:r>
      <w:r>
        <w:t>https://mcp.opencaselaw.ch/entscheid/bger_2A.415_1999</w:t>
      </w:r>
    </w:p>
    <w:p>
      <w:r>
        <w:t>FR: TF 2A.415/1999 du 10 janvier 2000</w:t>
      </w:r>
    </w:p>
    <w:p>
      <w:r>
        <w:t>IT: TF 2A.415/1999 del 10 gennaio 2000</w:t>
      </w:r>
    </w:p>
    <w:p>
      <w:pPr>
        <w:pStyle w:val="Heading2"/>
      </w:pPr>
      <w:r>
        <w:t>Regeste</w:t>
      </w:r>
    </w:p>
    <w:p>
      <w:r>
        <w:t>Droit de cité et droit des étrangers</w:t>
      </w:r>
    </w:p>
    <w:p>
      <w:pPr>
        <w:pStyle w:val="Heading2"/>
      </w:pPr>
      <w:r>
        <w:t>Erwägungen</w:t>
      </w:r>
    </w:p>
    <w:p>
      <w:r>
        <w:rPr>
          <w:b/>
        </w:rPr>
        <w:t>E. 1</w:t>
      </w:r>
    </w:p>
    <w:p>
      <w:r>
        <w:t>Le Tribunal fédéral examine d'office et librement la recevabilité des recours qui lui sont soumis ( ATF 125 I 253 consid. 1a p. 254; 125 II 293 consid. 1a p. 299 et la jurisprudence citée). Selon l' art. 101 lettre a OJ , si le recours de droit administratif est irrecevable contre une décision de fond, il n'est pas non plus recevable contre les décisions incidentes ou les décisions sur recours pour déni de justice ou retard injustifié, ni contre les décisions de non-entrée en matière qui doivent être traitées comme celles qui sont visées par cette disposition ( ATF 119 Ib 412 consid. 2a p. 414; 110 Ib 197 consid. 2b p. 199). En l'espèce, le Tribunal cantonal déclare irrecevable un recours, formé contre une "décision de rapatriement" de la Section cantonale, en raison de l'autorité de la chose jugée. Dès lors que le recours de droit administratif serait ouvert contre la décision finale prononçant le rapatriement - celle-ci se fondant sur la loi fédérale sur le séjour et l'établissement des étrangers à l'exclusion de l' art. 121 al. 2 Cst. (cf. art. 70 de l'ancienne Constitution et art. 100 al. 1 lettre b ch. 4 OJ) -, le recours de droit administratif est également recevable contre l'arrêt d'irrecevabilité attaqué, les autres conditions formelles des art. 97 ss OJ étant respectées.</w:t>
      </w:r>
    </w:p>
    <w:p>
      <w:r>
        <w:rPr>
          <w:b/>
        </w:rPr>
        <w:t>E. 2</w:t>
      </w:r>
    </w:p>
    <w:p>
      <w:r>
        <w:t>Le recourant soutient que l'autorité intimée n'a pas rendu une décision formelle de rapatriement dans son arrêt initial du 25 novembre 1997, seul le prononcé de la Section cantonale des 26 janvier et 5 mars 1998 constituant une telle décision. En conséquence, l'arrêt initial n'a pas acquis la force de la chose jugée sur le principe du rapatriement, si bien qu'un recours formé contre le prononcé précité de la Section cantonale ne peut se heurter à l'exception de l'autorité de la chose jugée. a) Il y a autorité de la chose jugée quand la prétention litigieuse est identique à celle qui a déjà fait l'objet d'un jugement passé en force. Tel est le cas lorsque, dans l'un et l'autre procès, les parties ont soumis au juge la même prétention en se fondant sur les mêmes motifs juridiques et les mêmes faits. L'autorité de la chose jugée s'attache en principe au seul dispositif du jugement. Cela n'empêche toutefois pas qu'il faille parfois recourir aux motifs pour déterminer la portée exacte du dispositif ( ATF 123 III 16 consid. 2a p. 18; 121 III 474 consid. 4a p. 477; 119 II 89 consid. 2a p. 90; 115 II 187 consid. 3b p. 189 ss; 106 II 117 consid. 1 p. 118; Fritz Gygi, Bundesverwaltungsrechtspflege, 2e éd., Berne 1983, p. 320 ss). De plus, lorsque le dispositif du jugement se réfère expressément aux considérants, ceux-ci en deviennent partie intégrante, partant, acquièrent la force de la chose jugée. Ainsi, lorsqu'un tel dispositif conclut un jugement de renvoi, les considérants lient les autorités auxquelles la cause est renvoyée ( ATF 120 V 233 consid. 1a p. 237; 113 V 159 ; Gygi, op. cit. p. 323). b) En l'espèce, c'est à juste titre que le Tribunal administratif a déclaré irrecevable le recours formé par le recourant contre le prononcé de la Section cantonale des 26 janvier et 5 mars 1998 en raison de l'autorité de la chose jugée. Certes, le dispositif de l'arrêt initial du 25 novembre 1997 peut prêter le flanc à la critique au sens où il ne mentionne pas expressément une décision de rapatriement. Cette absence ne permet toutefois pas d'affirmer que l'autorité de première instance n'était pas liée par une telle mesure. En effet, le dispositif se réfère expressément aux considérants et ceux-ci expriment clairement la volonté du Tribunal cantonal de prononcer une décision de rapatriement. De plus, l'arrêt initial ne laisse aucune latitude d'appréciation sur le principe du rapatriement, mais uniquement sur les modalités de celui-ci. Ainsi, l'arrêt initial constitue une décision finale de rapatriement qui, en l'absence de recours auprès du Tribunal fédéral, a acquis la force de la chose jugée. La décision de la Section cantonale rendue à la suite de cet arrêt ne peut donc qu'être une simple mesure d'exécution de celui-ci. En conséquence, un recours formé contre cette décision doit, dans la mesure où il conteste le principe même du rapatriement, être écarté en raison de l'autorité de la chose jugée.</w:t>
      </w:r>
    </w:p>
    <w:p>
      <w:r>
        <w:rPr>
          <w:b/>
        </w:rPr>
        <w:t>E. 3</w:t>
      </w:r>
    </w:p>
    <w:p>
      <w:r>
        <w:t>Le recourant reproche également à l'autorité intimée de n'avoir pas examiné les faits invoqués à l'appui de ses lettres adressées les 23 janvier et 2 mars 1998 à la Section cantonale au sujet de sa situation financière. Toutefois, ces arguments tendent uniquement à remettre en cause la décision de rapatriement, de sorte que l'autorité intimée était fondée à écarter le grief y relatif.</w:t>
      </w:r>
    </w:p>
    <w:p>
      <w:r>
        <w:rPr>
          <w:b/>
        </w:rPr>
        <w:t>E. 4</w:t>
      </w:r>
    </w:p>
    <w:p>
      <w:r>
        <w:t>Vu ce qui précède, le recours est mal fondé et doit être rejeté. les conclusions du recourant étant dénuées de chances de succès, il convient de refuser l'assistance judiciaire qu'il avait requise ( art. 152 OJ ). Succombant, le recourant doit supporter les frais judiciaires, qui seront fixés compte tenu de sa situation financière ( art. 156 al. 1, 153 et 153a OJ ). Il n'est pas alloué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