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2A.406/2001 vom 23. Januar 2002</w:t>
      </w:r>
    </w:p>
    <w:p>
      <w:r>
        <w:t>Bundesgericht, 2002-01-23, DE</w:t>
      </w:r>
    </w:p>
    <w:p>
      <w:r>
        <w:rPr>
          <w:b/>
        </w:rPr>
        <w:t xml:space="preserve">Quelle: </w:t>
      </w:r>
      <w:r>
        <w:t>https://mcp.opencaselaw.ch/entscheid/bger_2A.406_2001</w:t>
      </w:r>
    </w:p>
    <w:p>
      <w:r>
        <w:t>FR: TF 2A.406/2001 du 23 janvier 2002</w:t>
      </w:r>
    </w:p>
    <w:p>
      <w:r>
        <w:t>IT: TF 2A.406/2001 del 23 gennaio 2002</w:t>
      </w:r>
    </w:p>
    <w:p>
      <w:pPr>
        <w:pStyle w:val="Heading2"/>
      </w:pPr>
      <w:r>
        <w:t>Regeste</w:t>
      </w:r>
    </w:p>
    <w:p>
      <w:r>
        <w:t>Öffentliche Finanzen &amp; Abgaberecht</w:t>
      </w:r>
    </w:p>
    <w:p>
      <w:pPr>
        <w:pStyle w:val="Heading2"/>
      </w:pPr>
      <w:r>
        <w:t>Erwägungen</w:t>
      </w:r>
    </w:p>
    <w:p>
      <w:r>
        <w:rPr>
          <w:b/>
        </w:rPr>
        <w:t>E. 1</w:t>
      </w:r>
    </w:p>
    <w:p>
      <w:r>
        <w:t>a) Die Kantonale Verwaltung für die direkte Bundessteuer (Kantonales Steueramt Zürich) ist nach Art. 146 DBG zur Verwaltungsgerichtsbeschwerde legitimiert. b) Mit der Verwaltungsgerichtsbeschwerde kann nach Art. 104 lit. a und b OG die Verletzung von Bundesrecht, einschliesslich Überschreitung oder Missbrauch des Ermessens, und die unrichtige oder unvollständige Feststellung des rechtserheblichen Sachverhalts gerügt werden. Das Bundesgericht wendet das Bundesrecht bei der Verwaltungsgerichtsbeschwerde von Amtes wegen an, ohne an die Begründung der Parteibegehren gebunden zu sein (vgl. Art. 114 Abs. 1 OG ). Es kann daher den Entscheid mit Erwägungen aufrecht erhalten, die von denen im angefochtenen Entscheid abweichen, oder eine Beschwerde aus anderen als den darin geltend gemachten Gründen gutheissen ( BGE 117 Ib 114 E. 4a S. 117; 120 Ib 379 E. 1b S. 382; 121 III 274 E. 2c S. 275/276; 123 II 385 E. 3 S. 388 f.).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w:t>
      </w:r>
    </w:p>
    <w:p>
      <w:r>
        <w:rPr>
          <w:b/>
        </w:rPr>
        <w:t>E. 2</w:t>
      </w:r>
    </w:p>
    <w:p>
      <w:r>
        <w:t>a) Die Vorinstanz hat die Beschwerdegegnerin wie folgt besteuert: Sie musste die für ihre schon volljährigen Kinder erhaltenen scheidungsrechtlichen Unterhaltsbeiträge nicht als ihr Einkommen versteuern ( Art. 23 lit. f DBG a contrario und Art. 24 lit. e DBG ); gemäss Art. 33 Abs. 1 lit. g DBG hatte sie Anspruch auf den um je Fr. 600.-- pro Kind erhöhten Abzug für Versicherungsbeiträge und Zinsen von Sparkapitalien; zudem wurde ihr nach Art. 35 Abs. 1 lit. a DBG der Sozialabzug von je Fr. 5'100.-- für die drei in der Berufsausbildung stehenden Kinder gewährt; schliesslich kam der Verheiratetentarif ( Art. 36 Abs. 2 DBG ) zur Anwendung. Gleichzeitig konnten die Alimente zahlenden Väter ihre Unterhaltsbeiträge für ihre volljährigen Kinder nicht von ihrem steuerbaren Einkommen abziehen ( Art. 33 Abs. 1 lit. c DBG a contrario), dafür aber den Unterstützungsabzug von je Fr. 5'100.-- ( Art. 35 Abs. 1 lit. b DBG ) geltend machen. b) Das beschwerdeführende Kantonale Steueramt macht zur Hauptsache geltend, die kumulative Gewährung des Kinderabzugs nach Art. 35 Abs. 1 lit. a DBG an den unmittelbar für den Unterhalt sorgenden Elternteil und des Unterstützungsabzugs nach Art. 35 Abs. 1 lit. b DBG an den Alimente zahlenden Elternteil widerspreche dem Wortlaut von Art. 35 Abs. 1 lit. b zweiter Halbsatz DBG, wonach der Unterstützungsabzug nach lit. b nicht beansprucht werden kann für den Ehegatten und für Kinder, für die ein Abzug nach lit. a gewährt wird. Dieser Auffassung kann nicht gefolgt werden. Art. 35 Abs. 1 lit. a DBG sieht einen Abzug vor für jedes minderjährige oder in der Ausbildung stehende Kind, für dessen Unterhalt der Steuerpflichtige sorgt. Lit. b dieser Bestimmung gewährt einen Abzug für jede erwerbsunfähige oder beschränkt erwerbsfähige Person, an deren Unterhalt der Steuerpflichtige mindestens in der Höhe des Abzuges beiträgt. Der Wortlaut des 2. Halbsatzes von lit. b von Art. 35 Abs. 1 DBG schliesst nicht aus, dass das Kumulationsverbot nur auf eine steuerpflichtige Person allein bezogen wird. Eine solche Auslegung drängt sich auf, soll doch die Besteuerung grundsätzlich nicht von der steuerlichen Behandlung einer Drittperson abhängen. Nach der gesetzlichen Regelung in lit. b ist der Unterstützungsabzug gegenüber dem Kinderabzug subsidiär (und nicht umgekehrt). Die fragliche Bestimmung schliesst somit bei richtigem Verständnis lediglich aus, dass einem Elternteil, der bereits den Kinderabzug nach Art. 35 Abs. 1 lit. a DBG geltend macht, zusätzlich noch der Unterstützungsabzug nach lit. b gewährt wird. Dagegen kann daraus - entgegen der Auffassung des beschwerdeführenden Kantonalen Steueramts - nicht abgeleitet werden, einem steuerpflichtigen Elternteil sei der Kinderabzug nach Art. 35 Abs. 1 lit. a DBG zu verweigern, wenn dem anderen, Alimente zahlenden Elternteil der Unterstützungsabzug nach Art. 35 Abs. 1 lit. b DBG gewährt wird. Vorliegend sorgt die Beschwerdegegnerin für den Unterhalt ihrer drei in der Ausbildung stehenden Kinder durch deren unmittelbare Betreuung im gemeinsamen Haushalt (vgl. Art. 163 und Art. 276 Abs. 2 ZGB ); deshalb ist ihr der Kinderabzug nach Art. 35 Abs. 1 lit. a DBG zuzugestehen (vgl. Agner/Digeronimo/Neuhaus/Steinmann, Kommentar zum Bundesgesetz über die direkte Bundessteuer, Ergänzungsband 2000, N 9a zu Art. 33 DBG ). Daraus ergibt sich, dass der Beschwerdegegnerin auch der erhöhte Abzug für Versicherungsprämien und Sparzinsen nach Art. 33 Abs. 1 lit. g Abs. 2 DBG zu bewilligen ist, da dieser Abzug u.a. an die Gewährung des Kinderabzugs nach Art. 35 Abs. 1 lit. a DBG anknüpft. Ebenfalls zu Recht hat die Vorinstanz auf die Beschwerdegegnerin den tieferen Verheiratetentarif nach Art. 36 Abs. 2 DBG zur Anwendung gebracht, kann doch davon ausgegangen werden, dass die Beschwerdegegnerin als der die Kinder beherbergende und unmittelbar betreuende Elternteil im Sinne der gesetzlichen Umschreibung "zur Hauptsache" für deren Unterhalt aufkommt. c) Entgegen der Auffassung des beschwerdeführenden Kantonalen Steueramts lässt sich hiegegen nicht vorbringen, die kumulative Gewährung des Kinder- und Unterstützungsabzuges widerspreche Sinn und Zweck des Gesetzes, dem Gleichbehandlungsgrundsatz sowie dem verfassungsmässigen Grundsatz der Besteuerung nach der wirtschaftlichen Leistungsfähigkeit. Zunächst kann hiezu aus den Kreisschreiben und Weisungen der Eidgenössischen Steuerverwaltung zur Periode 1989/90 nichts abgeleitet werden (vgl. dazu Beschwerde S. 3), ebenso wenig aus der Praxis zu den kantonal-zürcherischen Steuern (vgl. Beschwerde S. 5). Dass die Unterhaltsbeiträge mit Eintritt der Mündigkeit direkt dem mündigen Kind zukommen und fortan weder von der Mutter (vgl. Art. 23 lit. f DBG ) noch vom Kind selber zu versteuern sind (vgl. Art. 24 lit. e DBG , vgl. Beschwerde S. 5), ist eine Grundsatzentscheidung des Gesetzgebers, an die sich die Steuerbehörden zu halten haben. Der Umstand, dass sich die steuerliche Belastung der Beschwerdegegnerin dadurch gegenüber der früheren Besteuerung erheblich verringert hat, da sie die für die Kinder erhaltenen Unterhaltsbeiträge nun nach Art. 23 lit. f DBG nicht mehr versteuern muss, erlaubt es - entgegen den Vorbringen in der Beschwerde (S. 6) - nicht, ihr den gesetzlich vorgesehenen Kinderabzug nach Art. 35 Abs. 1 lit. a DBG zu verweigern. Dieser Abzug ist ein Sozialabzug, der nicht an die Steuerpflicht für die erhaltenen Unterhaltsbeiträge anknüpft, sondern an die eigenen, zum Teil in natura erbrachten Unterhaltsleistungen der Beschwerdegegnerin, deren wirtschaftliche Leistungsfähigkeit durch die Kinderbetreuung reduziert wird. d) Es ist nicht zu entscheiden, ob bei diesem Ergebnis die vom Kantonalen Steueramt behauptete, ungerechtfertigte Privilegierung von Halbfamilien mit mündigen Kindern in Ausbildung gegenüber Halbfamilien mit unmündigen Kindern besteht. Die vom Bundesgesetzgeber gewählte Lösung ist für das Bundesgericht verbindlich ( Art. 191 BV ). Ob einem Elternteil, der mündigen Kindern Alimente zahlt, der Kinderabzug nach Art. 35 Abs. 1 lit. a DBG oder der Unterstützungsabzug nach Art. 35 Abs. 1 lit. b DBG zu gewähren ist (vgl. Beschwerde S. 7 ff.), ist hier nicht abschliessend zu prüfen: In der zur Diskussion stehenden Steuerperiode sind diese Abzüge gleich hoch. Zudem geht es im vorliegenden Verfahren nicht um die Veranlagung der Alimente zahlenden Väter. Immerhin lässt sich sagen, dass die - von der Eidgenössischen Steuerverwaltung vorgeschlagene - Gewährung des Unterstützungsabzugs an den Alimente zahlenden Elternteil, der die Unterhaltsbeiträge nach Art. 33 Abs. 1 lit. c DBG zufolge Eintritts der Volljährigkeit des Kindes nicht mehr abziehen kann, mit dem Wortlaut von Art. 35 Abs. 1 lit. b DBG vereinbar ist, kann doch ohne Weiteres angenommen werden, dass ein Kind in der Ausbildung zufolge der damit verbundenen zeitlichen Belastung nicht oder bloss beschränkt erwerbsfähig ist.</w:t>
      </w:r>
    </w:p>
    <w:p>
      <w:r>
        <w:rPr>
          <w:b/>
        </w:rPr>
        <w:t>E. 3</w:t>
      </w:r>
    </w:p>
    <w:p>
      <w:r>
        <w:t>Die Beschwerde des Kantonalen Steueramtes erweist sich daher als unbegründet. Bei diesem Ausgang wird der Kanton Zürich kostenpflichtig ( Art. 156 Abs. 1 und 2 OG ) und hat die Beschwerdegegnerin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