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2A.404/2002 vom 28. November 2002</w:t>
      </w:r>
    </w:p>
    <w:p>
      <w:r>
        <w:t>Bundesgericht, 2002-11-28, DE</w:t>
      </w:r>
    </w:p>
    <w:p>
      <w:r>
        <w:rPr>
          <w:b/>
        </w:rPr>
        <w:t xml:space="preserve">Quelle: </w:t>
      </w:r>
      <w:r>
        <w:t>https://mcp.opencaselaw.ch/entscheid/bger_2A.404_2002</w:t>
      </w:r>
    </w:p>
    <w:p>
      <w:r>
        <w:t>FR: TF 2A.404/2002 du 28 novembre 2002</w:t>
      </w:r>
    </w:p>
    <w:p>
      <w:r>
        <w:t>IT: TF 2A.404/2002 del 28 novembre 2002</w:t>
      </w:r>
    </w:p>
    <w:p>
      <w:pPr>
        <w:pStyle w:val="Heading2"/>
      </w:pPr>
      <w:r>
        <w:t>Erwägungen</w:t>
      </w:r>
    </w:p>
    <w:p>
      <w:r>
        <w:rPr>
          <w:b/>
        </w:rPr>
        <w:t>E. 1.1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dieses Gesetzes geregelte Materie betreffen, der Verwaltungsgerichtsbeschwerde an das Bundesgericht. 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Wie das Bundesgericht in BGE 123 II 588 E. 2 lit. d und e S. 592 dargelegt hat, sind die Kantone während der achtjährigen Anpassungsfrist in der Ausgestaltung und Anwendung des Steuerrechts frei. Das Steuerharmonisierungsgesetz sieht nicht vor, dass die Bundesbehörden den Harmonisierungsgrundsätzen schon vor Ablauf dieser Frist Nachachtung zu verschaffen haben, auch wenn der kantonale Gesetzgeber sein Steuerrecht vorzeitig angepasst hat. Die Verwaltungsgerichtsbeschwerde ist deshalb zur Überprüfung der Anwendung des kantonalen Steuerrechts selbst dann nicht vor dem 1. Januar 2001 zulässig, wenn das kantonale Recht dem Steuerharmonisierungsgesetz bei dessen Inkrafttreten bereits entspricht oder diesem vor dem 1. Januar 2001 angepasst wird.</w:t>
      </w:r>
    </w:p>
    <w:p>
      <w:r>
        <w:t>Inzwischen ist die Anpassungsfrist des Art. 72 Abs. 1 StHG abgelaufen und das Steuerharmonisierungsgesetz direkt anwendbar, wenn ihm das kantonale Steuerrecht widerspricht. Das gilt jedoch nur für die Steuerperioden seit dem 1. Januar 2001. Für die Steuern früherer Perioden ist weiterhin das bisherige kantonale Recht anwendbar, das noch nicht harmonisiert sein musste. Gegen entsprechende kantonale Entscheide steht daher die Verwaltungsgerichtsbeschwerde, die der Durchsetzung des Steuerharmonisierungsgesetzes dient, nicht zur Verfügung (Urteil des Bundesgerichts 2P.311/2001 vom 5. April 2002, E. 1; 2A.436/2001 vom 7. März 2002, E. 1.1, mit Hinweisen; Danielle Yersin, Harmonisation fiscale: La dernière ligne droite, ASA 69 S. 305 ff., 308 f.; Markus Reich, Gedanken zur Umsetzung des Steuerharmonisierungsgesetzes, ASA 62 S. 577 ff., 603). Da es im vorliegenden Fall um die Steuerjahre 1994-96 geht, kann auf die Verwaltungsgerichtsbeschwerde nicht eingetreten werden.</w:t>
      </w:r>
    </w:p>
    <w:p>
      <w:r>
        <w:rPr>
          <w:b/>
        </w:rPr>
        <w:t>E. 1.2</w:t>
      </w:r>
    </w:p>
    <w:p>
      <w:r>
        <w:t>Zulässig ist einzig das Rechtsmittel der staatsrechtlichen Beschwerde nach Art. 84 ff. OG . Die unrichtige Bezeichnung eines Rechtsmittels schadet der Beschwerdeführerin nicht, sofern die Eingabe die formellen Anforderungen des zutreffenden Rechtsmittels erfüllt ( BGE 120 Ib 379 E. 1a S. 381, mit Hinweisen). Die Beschwerde ist insoweit als staatsrechtliche Beschwerde entgegenzunehmen. Sie richtet sich gegen einen letztinstanzlichen kantonalen Endentscheid ( Art. 86 OG ), der die Beschwerdeführerin in rechtlich geschützten Interessen trifft ( Art. 88 OG ).</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Der Beschwerdeführer hat sich mit der Begründung des angefochtenen Entscheids im Einzelnen zu befassen und zu erklären, welches geschriebene oder ungeschriebene verfassungsmässige Individualrecht seiner Ansicht nach verletzt sein soll. Wirft der Beschwerdeführer der kantonalen Behörde zum Beispiel vor, sie habe mit einer vorgenommenen Anwendung des kantonalen Rechts Art. 9 BV (früher: Art. 4 aBV ) verletzt, so genügt es nicht, wenn er einfach behauptet, der angefochtene Entscheid sei willkürlich; bei der Rechtsanwendungsrüge hat der Beschwerdeführer vielmehr die Rechtsnorm, die qualifiziert unrichtig oder nicht angewendet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Auf Vorbringen, die diesen Anforderungen nicht genügen, und rein appellatorische Kritik am angefochtenen Entscheid tritt das Bundesgericht nicht ein ( BGE 110 Ia 1 E. 2a S. 3 f. ; 125 I 492 E. 1b S. 495, mit Hinweisen). Weiter ist die staatsrechtliche Beschwerde - von hier nicht in Betracht fallenden Ausnahmen abgesehen - rein kassatorischer Natur ( BGE 128 I 63 E. 6 S. 78 f.; 127 II 1 E. 2 S. 5, mit Hinweisen; grundlegend BGE 124 I 327 E. 4 S. 332 ff.); der Erlass positiver Anordnungen oder Feststellungen ist demnach ausgeschlossen. Auf die Beschwerde ist daher nicht einzutreten, soweit mehr als die Aufhebung des angefochtenen Entscheids verlangt wird.</w:t>
      </w:r>
    </w:p>
    <w:p>
      <w:r>
        <w:rPr>
          <w:b/>
        </w:rPr>
        <w:t>E. 1.3</w:t>
      </w:r>
    </w:p>
    <w:p>
      <w:r>
        <w:t>Umstritten sind Aufwendungen aus Bürgschaftsverpflichtungen, die von B.________ zur Finanzierung der C.________ AG eingegangen, als Aufwand der Erfolgsrechnung der Beschwerdeführerin belastet und bei ihr von den Steuerbehörden als verdeckte Gewinnausschüttungen aufgerechnet wurden. Zudem sind dem Geschäftsaufwand der Beschwerdeführerin belastete Kosten aus einem Aktenherausgabeprozess zwischen ihr und B.________ einerseits und andererseits den Unternehmen D.________ SA, E.________ AG, F.________ und G.________ AG (in denen B.________ vorher als Verwaltungsratspräsident gewirkt hatte) steuerlich nicht anerkannt worden. Die Beschwerdeführerin wirft dem Verwaltungsgericht bzw. der Rekurskommission vor, von einem falschen Sachverhalt ausgegangen zu sein bzw. falsche Sachverhaltsannahmen getroffen, gewisse Vorbringen wegen des Novenrechts im verwaltungsgerichtlichen Verfahren nicht berücksichtigt und damit ihr rechtliches Gehör verletzt zu haben.</w:t>
      </w:r>
    </w:p>
    <w:p>
      <w:r>
        <w:t>Die Argumentation der Beschwerdeführerin genügt den Begründungsanforderungen einer staatsrechtlichen Beschwerde ( Art. 90 Abs. 1 lit. b OG ) nicht. Soweit die Beschwerdeführerin auf Grund des Novenrechts mit ihren Vorbringen nicht gehört wurde, hätte sie ausgehend von den massgebenden Gesetzesvorschriften darlegen müssen, inwiefern diese nicht nur unzutreffend, sondern darüber hinaus qualifiziert unrichtig und damit willkürlich angewendet worden sein sollen ( BGE 123 III 261 E. 4a S. 270; 110 Ia 1 E. 2a S. 3). Auch die Rüge, das Verwaltungsgericht sei bei der Feststellung des rechtserheblichen Sachverhalts in Willkür verfallen, wird nicht rechtsgenügend erhoben. Die Beschwerdeführerin behauptet, sie sei mit ihren Darstellungen nicht gehört worden, und stellt den Ausführungen des Verwaltungsgerichts, die sie als falsch oder willkürlich bezeichnet, bloss ihre Sicht der Dinge gegenüber. Eine solche, rein appellatorische Begründung genügt für die Substanziierung der Willkürrüge im Verfahren der staatsrechtlichen Beschwerde nicht. Ebenso wenig ist eine Verfahrensverzögerung durch die Steuerbehörden ausreichend substanziiert. Auf die Beschwerde ist insoweit nicht einzutreten.</w:t>
      </w:r>
    </w:p>
    <w:p>
      <w:r>
        <w:rPr>
          <w:b/>
        </w:rPr>
        <w:t>E. 2</w:t>
      </w:r>
    </w:p>
    <w:p>
      <w:r>
        <w:t>Soweit die Beschwerdeführerin gestützt auf Art. 29 Abs. 1 BV eine fehlende Rechtsmittelbelehrung rügt, kann ihr nicht gefolgt werden. Es besteht keine bundesrechtliche Bestimmung, wonach mit einer Rechtsmittelbelehrung auf die Möglichkeit des ausserordentlichen Rechtsmittels (vgl. Art. 35 Abs. 2 VwVG ) der staatsrechtlichen Beschwerde hingewiesen werden müsste (vgl. BGE 98 Ib 333 E. 2a S. 337 ff., mit Hinweisen; Jean-François Egli, La protection de la bonne foi dans le procès, in Verfassungsrechtsprechung und Verwaltungsrechtsprechung, Sammlung von Beiträgen veröffentlicht von der I. öffentlichrechtlichen Abteilung des schweizerischen Bundesgerichts, Zürich 1992, S. 231; Rhinow/Krähenmann, Schweizerische Verwaltungsrechtsprechung, Ergänzungsband, Basel 1990, Nr. 86/I). Dass eine entsprechende Pflicht aus dem zürcherischen Verfahrensrecht abgeleitet werden könnte, ist weder geltend gemacht noch nachgewiesen.</w:t>
      </w:r>
    </w:p>
    <w:p>
      <w:r>
        <w:rPr>
          <w:b/>
        </w:rPr>
        <w:t>E. 3</w:t>
      </w:r>
    </w:p>
    <w:p>
      <w:r>
        <w:t>Auf die Verwaltungsgerichtsbeschwerde ist somit nicht einzutreten. Die als staatsrechtliche Beschwerde entgegengenommene Eingabe erweist sich als unbegründet und ist abzuweisen, soweit darauf eingetreten werden kann. Entsprechend diesem Verfahrensausgang sind die bundesgerichtlichen Kosten der Beschwerdeführerin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